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EBB4" w14:textId="77777777" w:rsidR="00FD3C25" w:rsidRDefault="00FD3C25" w:rsidP="003009EE">
      <w:pPr>
        <w:pStyle w:val="Heading1"/>
      </w:pPr>
      <w:bookmarkStart w:id="0" w:name="_Hlk131576964"/>
      <w:bookmarkEnd w:id="0"/>
      <w:r>
        <w:rPr>
          <w:noProof/>
        </w:rPr>
        <w:drawing>
          <wp:inline distT="0" distB="0" distL="0" distR="0" wp14:anchorId="34D56081" wp14:editId="78E40CD3">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4EAA4CE7" w14:textId="77777777" w:rsidR="00546E04" w:rsidRPr="00131F42" w:rsidRDefault="00211A66" w:rsidP="000B3B04">
      <w:pPr>
        <w:pStyle w:val="Heading1"/>
        <w:spacing w:before="1800"/>
      </w:pPr>
      <w:r w:rsidRPr="00131F42">
        <w:t>Large print</w:t>
      </w:r>
    </w:p>
    <w:p w14:paraId="76552510" w14:textId="5175AA61" w:rsidR="002F2BEF" w:rsidRDefault="008774D2" w:rsidP="000B3B04">
      <w:pPr>
        <w:pStyle w:val="Heading1"/>
        <w:spacing w:before="1800"/>
        <w:rPr>
          <w:sz w:val="72"/>
          <w:szCs w:val="72"/>
        </w:rPr>
      </w:pPr>
      <w:r>
        <w:rPr>
          <w:sz w:val="72"/>
          <w:szCs w:val="72"/>
        </w:rPr>
        <w:t>Annual Report 2021-22</w:t>
      </w:r>
    </w:p>
    <w:p w14:paraId="60937578" w14:textId="77777777" w:rsidR="00CC1EAA" w:rsidRPr="00CC1EAA" w:rsidRDefault="00CC1EAA" w:rsidP="00CC1EAA">
      <w:pPr>
        <w:pStyle w:val="Heading1"/>
        <w:rPr>
          <w:sz w:val="72"/>
          <w:szCs w:val="72"/>
        </w:rPr>
      </w:pPr>
      <w:r w:rsidRPr="00CC1EAA">
        <w:rPr>
          <w:sz w:val="72"/>
          <w:szCs w:val="72"/>
        </w:rPr>
        <w:t>Strategic Equalities Plan</w:t>
      </w:r>
    </w:p>
    <w:p w14:paraId="177ED704" w14:textId="0A00FD8B" w:rsidR="007C1781" w:rsidRPr="00B7671D" w:rsidRDefault="00A65148" w:rsidP="00B7671D">
      <w:pPr>
        <w:pStyle w:val="Heading2"/>
        <w:spacing w:before="1200"/>
      </w:pPr>
      <w:bookmarkStart w:id="1" w:name="_Toc139014843"/>
      <w:r w:rsidRPr="00B7671D">
        <w:t xml:space="preserve">June </w:t>
      </w:r>
      <w:r w:rsidR="00091AA8" w:rsidRPr="00B7671D">
        <w:t>202</w:t>
      </w:r>
      <w:r w:rsidR="002F2BEF" w:rsidRPr="00B7671D">
        <w:t>3</w:t>
      </w:r>
      <w:bookmarkEnd w:id="1"/>
    </w:p>
    <w:p w14:paraId="780B6D19" w14:textId="6056F9E0" w:rsidR="002F2BEF" w:rsidRDefault="00F67A81" w:rsidP="009D44DC">
      <w:pPr>
        <w:rPr>
          <w:rFonts w:eastAsiaTheme="majorEastAsia" w:cstheme="majorBidi"/>
          <w:sz w:val="40"/>
          <w:szCs w:val="26"/>
        </w:rPr>
      </w:pPr>
      <w:r w:rsidRPr="00A926CC">
        <w:rPr>
          <w:noProof/>
          <w:szCs w:val="36"/>
        </w:rPr>
        <w:drawing>
          <wp:anchor distT="0" distB="0" distL="114300" distR="114300" simplePos="0" relativeHeight="251658240" behindDoc="0" locked="0" layoutInCell="1" allowOverlap="1" wp14:anchorId="1A092FEB" wp14:editId="03BCEB4F">
            <wp:simplePos x="0" y="0"/>
            <wp:positionH relativeFrom="margin">
              <wp:align>left</wp:align>
            </wp:positionH>
            <wp:positionV relativeFrom="margin">
              <wp:posOffset>7023735</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4CA7">
        <w:rPr>
          <w:noProof/>
        </w:rPr>
        <w:drawing>
          <wp:anchor distT="0" distB="0" distL="114300" distR="114300" simplePos="0" relativeHeight="251660288" behindDoc="0" locked="0" layoutInCell="1" allowOverlap="1" wp14:anchorId="5FCD044B" wp14:editId="308098C8">
            <wp:simplePos x="0" y="0"/>
            <wp:positionH relativeFrom="margin">
              <wp:align>left</wp:align>
            </wp:positionH>
            <wp:positionV relativeFrom="paragraph">
              <wp:posOffset>2278380</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69653E35" w14:textId="77777777" w:rsidR="006E0242" w:rsidRPr="0064291F" w:rsidRDefault="003009EE" w:rsidP="008D7822">
      <w:pPr>
        <w:pStyle w:val="Heading2"/>
      </w:pPr>
      <w:bookmarkStart w:id="2" w:name="_Toc131578278"/>
      <w:bookmarkStart w:id="3" w:name="_Toc139014844"/>
      <w:r w:rsidRPr="0064291F">
        <w:lastRenderedPageBreak/>
        <w:t>Accessibility</w:t>
      </w:r>
      <w:bookmarkEnd w:id="2"/>
      <w:bookmarkEnd w:id="3"/>
    </w:p>
    <w:p w14:paraId="1B91F6B4" w14:textId="77777777" w:rsidR="00C15A8C" w:rsidRPr="00C15A8C" w:rsidRDefault="00C15A8C" w:rsidP="00C15A8C">
      <w:pPr>
        <w:spacing w:before="480"/>
      </w:pPr>
      <w:r w:rsidRPr="00C15A8C">
        <w:t xml:space="preserve">Arts Council of Wales is committed to making information available in large print, braille, audio, Easy </w:t>
      </w:r>
      <w:proofErr w:type="gramStart"/>
      <w:r w:rsidRPr="00C15A8C">
        <w:t>Read</w:t>
      </w:r>
      <w:proofErr w:type="gramEnd"/>
      <w:r w:rsidRPr="00C15A8C">
        <w:t xml:space="preserve"> and British Sign Language and will endeavour to provide information in languages other than Welsh or English on request.</w:t>
      </w:r>
    </w:p>
    <w:p w14:paraId="6C106745" w14:textId="24B7C095" w:rsidR="000D4CD5" w:rsidRPr="00C15A8C" w:rsidRDefault="00C15A8C" w:rsidP="00C15A8C">
      <w:r w:rsidRPr="00C15A8C">
        <w:t xml:space="preserve">If you have any access needs and are thinking about making an application, we can help to make sure that you’re supported during the application process. Please contact us at </w:t>
      </w:r>
      <w:hyperlink r:id="rId11" w:history="1">
        <w:r w:rsidRPr="00507BB4">
          <w:rPr>
            <w:rStyle w:val="Hyperlink"/>
          </w:rPr>
          <w:t>grants@arts.wales</w:t>
        </w:r>
      </w:hyperlink>
      <w:r w:rsidRPr="00C15A8C">
        <w:t xml:space="preserve"> to discuss how we can help.</w:t>
      </w:r>
    </w:p>
    <w:p w14:paraId="4C56B11C" w14:textId="3863E5CD" w:rsidR="00F80C30" w:rsidRDefault="001213D9" w:rsidP="009D44DC">
      <w:r w:rsidRPr="00747976">
        <w:rPr>
          <w:noProof/>
        </w:rPr>
        <w:drawing>
          <wp:anchor distT="0" distB="0" distL="114300" distR="114300" simplePos="0" relativeHeight="251659264" behindDoc="0" locked="0" layoutInCell="1" allowOverlap="1" wp14:anchorId="66F1892F" wp14:editId="6B73C2DC">
            <wp:simplePos x="0" y="0"/>
            <wp:positionH relativeFrom="margin">
              <wp:align>left</wp:align>
            </wp:positionH>
            <wp:positionV relativeFrom="paragraph">
              <wp:posOffset>340995</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00F80C30">
        <w:br w:type="page"/>
      </w:r>
    </w:p>
    <w:p w14:paraId="5BB4AD3B" w14:textId="5D6B47D0" w:rsidR="002C6258" w:rsidRDefault="002C6258" w:rsidP="002C6258">
      <w:pPr>
        <w:pStyle w:val="Heading2"/>
        <w:spacing w:after="640"/>
      </w:pPr>
      <w:r>
        <w:lastRenderedPageBreak/>
        <w:t>Contents</w:t>
      </w:r>
    </w:p>
    <w:p w14:paraId="63CAF39B" w14:textId="244A914B" w:rsidR="00BF5B87" w:rsidRDefault="00BF5B87" w:rsidP="009F422A">
      <w:pPr>
        <w:pStyle w:val="TOC2"/>
        <w:rPr>
          <w:noProof/>
        </w:rPr>
      </w:pPr>
      <w:r>
        <w:fldChar w:fldCharType="begin"/>
      </w:r>
      <w:r>
        <w:instrText xml:space="preserve"> TOC \o "2-3" \h \z \u </w:instrText>
      </w:r>
      <w:r>
        <w:fldChar w:fldCharType="separate"/>
      </w:r>
      <w:hyperlink w:anchor="_Toc139014845" w:history="1">
        <w:r w:rsidRPr="00C338CC">
          <w:rPr>
            <w:rStyle w:val="Hyperlink"/>
            <w:noProof/>
          </w:rPr>
          <w:t>Introduction</w:t>
        </w:r>
        <w:r>
          <w:rPr>
            <w:noProof/>
            <w:webHidden/>
          </w:rPr>
          <w:tab/>
        </w:r>
        <w:r>
          <w:rPr>
            <w:noProof/>
            <w:webHidden/>
          </w:rPr>
          <w:fldChar w:fldCharType="begin"/>
        </w:r>
        <w:r>
          <w:rPr>
            <w:noProof/>
            <w:webHidden/>
          </w:rPr>
          <w:instrText xml:space="preserve"> PAGEREF _Toc139014845 \h </w:instrText>
        </w:r>
        <w:r>
          <w:rPr>
            <w:noProof/>
            <w:webHidden/>
          </w:rPr>
        </w:r>
        <w:r>
          <w:rPr>
            <w:noProof/>
            <w:webHidden/>
          </w:rPr>
          <w:fldChar w:fldCharType="separate"/>
        </w:r>
        <w:r>
          <w:rPr>
            <w:noProof/>
            <w:webHidden/>
          </w:rPr>
          <w:t>5</w:t>
        </w:r>
        <w:r>
          <w:rPr>
            <w:noProof/>
            <w:webHidden/>
          </w:rPr>
          <w:fldChar w:fldCharType="end"/>
        </w:r>
      </w:hyperlink>
    </w:p>
    <w:p w14:paraId="7BF05F1E" w14:textId="430AB697" w:rsidR="00BF5B87" w:rsidRDefault="009F422A" w:rsidP="009F422A">
      <w:pPr>
        <w:pStyle w:val="TOC2"/>
        <w:rPr>
          <w:noProof/>
        </w:rPr>
      </w:pPr>
      <w:hyperlink w:anchor="_Toc139014846" w:history="1">
        <w:r w:rsidR="00BF5B87" w:rsidRPr="00C338CC">
          <w:rPr>
            <w:rStyle w:val="Hyperlink"/>
            <w:noProof/>
          </w:rPr>
          <w:t>Our Equality Plan objectives</w:t>
        </w:r>
        <w:r w:rsidR="00BF5B87">
          <w:rPr>
            <w:noProof/>
            <w:webHidden/>
          </w:rPr>
          <w:tab/>
        </w:r>
        <w:r w:rsidR="00BF5B87">
          <w:rPr>
            <w:noProof/>
            <w:webHidden/>
          </w:rPr>
          <w:fldChar w:fldCharType="begin"/>
        </w:r>
        <w:r w:rsidR="00BF5B87">
          <w:rPr>
            <w:noProof/>
            <w:webHidden/>
          </w:rPr>
          <w:instrText xml:space="preserve"> PAGEREF _Toc139014846 \h </w:instrText>
        </w:r>
        <w:r w:rsidR="00BF5B87">
          <w:rPr>
            <w:noProof/>
            <w:webHidden/>
          </w:rPr>
        </w:r>
        <w:r w:rsidR="00BF5B87">
          <w:rPr>
            <w:noProof/>
            <w:webHidden/>
          </w:rPr>
          <w:fldChar w:fldCharType="separate"/>
        </w:r>
        <w:r w:rsidR="00BF5B87">
          <w:rPr>
            <w:noProof/>
            <w:webHidden/>
          </w:rPr>
          <w:t>7</w:t>
        </w:r>
        <w:r w:rsidR="00BF5B87">
          <w:rPr>
            <w:noProof/>
            <w:webHidden/>
          </w:rPr>
          <w:fldChar w:fldCharType="end"/>
        </w:r>
      </w:hyperlink>
    </w:p>
    <w:p w14:paraId="4F7DEB9F" w14:textId="27DA0357" w:rsidR="00BF5B87" w:rsidRDefault="009F422A" w:rsidP="009F422A">
      <w:pPr>
        <w:pStyle w:val="TOC2"/>
        <w:rPr>
          <w:noProof/>
        </w:rPr>
      </w:pPr>
      <w:hyperlink w:anchor="_Toc139014847" w:history="1">
        <w:r w:rsidR="00BF5B87" w:rsidRPr="00C338CC">
          <w:rPr>
            <w:rStyle w:val="Hyperlink"/>
            <w:noProof/>
          </w:rPr>
          <w:t>What key actions did we progress this year?</w:t>
        </w:r>
        <w:r w:rsidR="00BF5B87">
          <w:rPr>
            <w:noProof/>
            <w:webHidden/>
          </w:rPr>
          <w:tab/>
        </w:r>
        <w:r w:rsidR="00BF5B87">
          <w:rPr>
            <w:noProof/>
            <w:webHidden/>
          </w:rPr>
          <w:fldChar w:fldCharType="begin"/>
        </w:r>
        <w:r w:rsidR="00BF5B87">
          <w:rPr>
            <w:noProof/>
            <w:webHidden/>
          </w:rPr>
          <w:instrText xml:space="preserve"> PAGEREF _Toc139014847 \h </w:instrText>
        </w:r>
        <w:r w:rsidR="00BF5B87">
          <w:rPr>
            <w:noProof/>
            <w:webHidden/>
          </w:rPr>
        </w:r>
        <w:r w:rsidR="00BF5B87">
          <w:rPr>
            <w:noProof/>
            <w:webHidden/>
          </w:rPr>
          <w:fldChar w:fldCharType="separate"/>
        </w:r>
        <w:r w:rsidR="00BF5B87">
          <w:rPr>
            <w:noProof/>
            <w:webHidden/>
          </w:rPr>
          <w:t>9</w:t>
        </w:r>
        <w:r w:rsidR="00BF5B87">
          <w:rPr>
            <w:noProof/>
            <w:webHidden/>
          </w:rPr>
          <w:fldChar w:fldCharType="end"/>
        </w:r>
      </w:hyperlink>
    </w:p>
    <w:p w14:paraId="20362DF6" w14:textId="25EC08EE" w:rsidR="00BF5B87" w:rsidRDefault="009F422A" w:rsidP="009F422A">
      <w:pPr>
        <w:pStyle w:val="TOC2"/>
        <w:ind w:left="567" w:hanging="567"/>
        <w:rPr>
          <w:noProof/>
        </w:rPr>
      </w:pPr>
      <w:hyperlink w:anchor="_Toc139014849" w:history="1">
        <w:r w:rsidR="00BF5B87" w:rsidRPr="00C338CC">
          <w:rPr>
            <w:rStyle w:val="Hyperlink"/>
            <w:noProof/>
          </w:rPr>
          <w:t>What does our data tell us about how well we have done?</w:t>
        </w:r>
        <w:r w:rsidR="00BF5B87">
          <w:rPr>
            <w:noProof/>
            <w:webHidden/>
          </w:rPr>
          <w:tab/>
        </w:r>
        <w:r w:rsidR="00BF5B87">
          <w:rPr>
            <w:noProof/>
            <w:webHidden/>
          </w:rPr>
          <w:fldChar w:fldCharType="begin"/>
        </w:r>
        <w:r w:rsidR="00BF5B87">
          <w:rPr>
            <w:noProof/>
            <w:webHidden/>
          </w:rPr>
          <w:instrText xml:space="preserve"> PAGEREF _Toc139014849 \h </w:instrText>
        </w:r>
        <w:r w:rsidR="00BF5B87">
          <w:rPr>
            <w:noProof/>
            <w:webHidden/>
          </w:rPr>
        </w:r>
        <w:r w:rsidR="00BF5B87">
          <w:rPr>
            <w:noProof/>
            <w:webHidden/>
          </w:rPr>
          <w:fldChar w:fldCharType="separate"/>
        </w:r>
        <w:r w:rsidR="00BF5B87">
          <w:rPr>
            <w:noProof/>
            <w:webHidden/>
          </w:rPr>
          <w:t>15</w:t>
        </w:r>
        <w:r w:rsidR="00BF5B87">
          <w:rPr>
            <w:noProof/>
            <w:webHidden/>
          </w:rPr>
          <w:fldChar w:fldCharType="end"/>
        </w:r>
      </w:hyperlink>
    </w:p>
    <w:p w14:paraId="2C6D715B" w14:textId="7B535FB4" w:rsidR="00BF5B87" w:rsidRDefault="009F422A" w:rsidP="009F422A">
      <w:pPr>
        <w:pStyle w:val="TOC2"/>
        <w:rPr>
          <w:noProof/>
        </w:rPr>
      </w:pPr>
      <w:hyperlink w:anchor="_Toc139014853" w:history="1">
        <w:r w:rsidR="00BF5B87" w:rsidRPr="00C338CC">
          <w:rPr>
            <w:rStyle w:val="Hyperlink"/>
            <w:noProof/>
          </w:rPr>
          <w:t>Strategic Equality Committee</w:t>
        </w:r>
        <w:r w:rsidR="00BF5B87">
          <w:rPr>
            <w:noProof/>
            <w:webHidden/>
          </w:rPr>
          <w:tab/>
        </w:r>
        <w:r w:rsidR="00BF5B87">
          <w:rPr>
            <w:noProof/>
            <w:webHidden/>
          </w:rPr>
          <w:fldChar w:fldCharType="begin"/>
        </w:r>
        <w:r w:rsidR="00BF5B87">
          <w:rPr>
            <w:noProof/>
            <w:webHidden/>
          </w:rPr>
          <w:instrText xml:space="preserve"> PAGEREF _Toc139014853 \h </w:instrText>
        </w:r>
        <w:r w:rsidR="00BF5B87">
          <w:rPr>
            <w:noProof/>
            <w:webHidden/>
          </w:rPr>
        </w:r>
        <w:r w:rsidR="00BF5B87">
          <w:rPr>
            <w:noProof/>
            <w:webHidden/>
          </w:rPr>
          <w:fldChar w:fldCharType="separate"/>
        </w:r>
        <w:r w:rsidR="00BF5B87">
          <w:rPr>
            <w:noProof/>
            <w:webHidden/>
          </w:rPr>
          <w:t>34</w:t>
        </w:r>
        <w:r w:rsidR="00BF5B87">
          <w:rPr>
            <w:noProof/>
            <w:webHidden/>
          </w:rPr>
          <w:fldChar w:fldCharType="end"/>
        </w:r>
      </w:hyperlink>
    </w:p>
    <w:p w14:paraId="7DA27AC2" w14:textId="43B2473E" w:rsidR="00BF5B87" w:rsidRDefault="009F422A" w:rsidP="009F422A">
      <w:pPr>
        <w:pStyle w:val="TOC2"/>
        <w:rPr>
          <w:noProof/>
        </w:rPr>
      </w:pPr>
      <w:hyperlink w:anchor="_Toc139014854" w:history="1">
        <w:r w:rsidR="00BF5B87" w:rsidRPr="00C338CC">
          <w:rPr>
            <w:rStyle w:val="Hyperlink"/>
            <w:noProof/>
          </w:rPr>
          <w:t>Meeting our Legislative Responsibilities</w:t>
        </w:r>
        <w:r w:rsidR="00BF5B87">
          <w:rPr>
            <w:noProof/>
            <w:webHidden/>
          </w:rPr>
          <w:tab/>
        </w:r>
        <w:r w:rsidR="00BF5B87">
          <w:rPr>
            <w:noProof/>
            <w:webHidden/>
          </w:rPr>
          <w:fldChar w:fldCharType="begin"/>
        </w:r>
        <w:r w:rsidR="00BF5B87">
          <w:rPr>
            <w:noProof/>
            <w:webHidden/>
          </w:rPr>
          <w:instrText xml:space="preserve"> PAGEREF _Toc139014854 \h </w:instrText>
        </w:r>
        <w:r w:rsidR="00BF5B87">
          <w:rPr>
            <w:noProof/>
            <w:webHidden/>
          </w:rPr>
        </w:r>
        <w:r w:rsidR="00BF5B87">
          <w:rPr>
            <w:noProof/>
            <w:webHidden/>
          </w:rPr>
          <w:fldChar w:fldCharType="separate"/>
        </w:r>
        <w:r w:rsidR="00BF5B87">
          <w:rPr>
            <w:noProof/>
            <w:webHidden/>
          </w:rPr>
          <w:t>35</w:t>
        </w:r>
        <w:r w:rsidR="00BF5B87">
          <w:rPr>
            <w:noProof/>
            <w:webHidden/>
          </w:rPr>
          <w:fldChar w:fldCharType="end"/>
        </w:r>
      </w:hyperlink>
    </w:p>
    <w:p w14:paraId="5D4C6859" w14:textId="6B301CA2" w:rsidR="00BF5B87" w:rsidRDefault="009F422A" w:rsidP="009F422A">
      <w:pPr>
        <w:pStyle w:val="TOC2"/>
        <w:rPr>
          <w:noProof/>
        </w:rPr>
      </w:pPr>
      <w:hyperlink w:anchor="_Toc139014855" w:history="1">
        <w:r w:rsidR="00BF5B87" w:rsidRPr="00C338CC">
          <w:rPr>
            <w:rStyle w:val="Hyperlink"/>
            <w:noProof/>
          </w:rPr>
          <w:t>Evidence of the 5 Ways of Working</w:t>
        </w:r>
        <w:r w:rsidR="00BF5B87">
          <w:rPr>
            <w:noProof/>
            <w:webHidden/>
          </w:rPr>
          <w:tab/>
        </w:r>
        <w:r w:rsidR="00BF5B87">
          <w:rPr>
            <w:noProof/>
            <w:webHidden/>
          </w:rPr>
          <w:fldChar w:fldCharType="begin"/>
        </w:r>
        <w:r w:rsidR="00BF5B87">
          <w:rPr>
            <w:noProof/>
            <w:webHidden/>
          </w:rPr>
          <w:instrText xml:space="preserve"> PAGEREF _Toc139014855 \h </w:instrText>
        </w:r>
        <w:r w:rsidR="00BF5B87">
          <w:rPr>
            <w:noProof/>
            <w:webHidden/>
          </w:rPr>
        </w:r>
        <w:r w:rsidR="00BF5B87">
          <w:rPr>
            <w:noProof/>
            <w:webHidden/>
          </w:rPr>
          <w:fldChar w:fldCharType="separate"/>
        </w:r>
        <w:r w:rsidR="00BF5B87">
          <w:rPr>
            <w:noProof/>
            <w:webHidden/>
          </w:rPr>
          <w:t>37</w:t>
        </w:r>
        <w:r w:rsidR="00BF5B87">
          <w:rPr>
            <w:noProof/>
            <w:webHidden/>
          </w:rPr>
          <w:fldChar w:fldCharType="end"/>
        </w:r>
      </w:hyperlink>
    </w:p>
    <w:p w14:paraId="59DF5C15" w14:textId="77777777" w:rsidR="000033B9" w:rsidRDefault="00BF5B87" w:rsidP="002C6258">
      <w:pPr>
        <w:spacing w:line="480" w:lineRule="auto"/>
        <w:sectPr w:rsidR="000033B9" w:rsidSect="00796E46">
          <w:footerReference w:type="default" r:id="rId13"/>
          <w:type w:val="continuous"/>
          <w:pgSz w:w="11906" w:h="16838"/>
          <w:pgMar w:top="1440" w:right="1274" w:bottom="1418" w:left="1440" w:header="708" w:footer="567" w:gutter="0"/>
          <w:cols w:space="708"/>
          <w:titlePg/>
          <w:docGrid w:linePitch="490"/>
        </w:sectPr>
      </w:pPr>
      <w:r>
        <w:fldChar w:fldCharType="end"/>
      </w:r>
      <w:r>
        <w:br w:type="page"/>
      </w:r>
    </w:p>
    <w:p w14:paraId="223057AB" w14:textId="3EDF1A60" w:rsidR="00E17919" w:rsidRDefault="00E17919" w:rsidP="00933D84">
      <w:pPr>
        <w:pStyle w:val="Heading2"/>
        <w:spacing w:before="0" w:after="360"/>
      </w:pPr>
      <w:bookmarkStart w:id="4" w:name="_Toc139014845"/>
      <w:r>
        <w:lastRenderedPageBreak/>
        <w:t>Introduction</w:t>
      </w:r>
      <w:bookmarkEnd w:id="4"/>
    </w:p>
    <w:p w14:paraId="339FF81D" w14:textId="77777777" w:rsidR="00E17919" w:rsidRDefault="00E17919" w:rsidP="00933D84">
      <w:pPr>
        <w:spacing w:before="240"/>
      </w:pPr>
      <w:r>
        <w:t xml:space="preserve">The Public Sector Equality Duty sets out specific duties for the public sector in Wales to support and help progress on equalities work. For the Arts Council of Wales, reporting on Equalities is more than a legal requirement, it’s fundamental to the delivery of our core priorities. </w:t>
      </w:r>
    </w:p>
    <w:p w14:paraId="1AFE44D5" w14:textId="77777777" w:rsidR="00E17919" w:rsidRDefault="00E17919" w:rsidP="009D44DC">
      <w:r>
        <w:t>Our Corporate Plan, “For the Benefit of All” sets out our ambitions and plans for increasing the number of people enjoying and taking part in the arts, targeting those people from communities and backgrounds that the arts in Wales still fail to fully represent.</w:t>
      </w:r>
    </w:p>
    <w:p w14:paraId="27A3601E" w14:textId="77777777" w:rsidR="00E17919" w:rsidRDefault="00E17919" w:rsidP="009D44DC">
      <w:r>
        <w:t xml:space="preserve">The Arts Council of Wales believes that culture in Wales should reflect the lives of all its citizens. People who are culturally and ethnically diverse, neuro-divergent, </w:t>
      </w:r>
      <w:proofErr w:type="gramStart"/>
      <w:r>
        <w:t>deaf</w:t>
      </w:r>
      <w:proofErr w:type="gramEnd"/>
      <w:r>
        <w:t xml:space="preserve"> and disabled people, LGBTQ+ people and people facing social-economic disadvantage are integral and central to our cultural life. Our approach in taking forward our work will be one of zero tolerance to racism and ableism and to work towards ensuring people from these communities are fully represented in the </w:t>
      </w:r>
      <w:r>
        <w:lastRenderedPageBreak/>
        <w:t xml:space="preserve">workforce, as decision makers, as visitors, as creators, participants and as audience members. </w:t>
      </w:r>
    </w:p>
    <w:p w14:paraId="41AB3657" w14:textId="77777777" w:rsidR="00E17919" w:rsidRDefault="00E17919" w:rsidP="009D44DC">
      <w:r>
        <w:t xml:space="preserve">Our vision is for a fair and equal Wales where the arts are widely and easily available for everyone. We’re determined to champion diversity and to break down the barriers that prevent this from happening. </w:t>
      </w:r>
    </w:p>
    <w:p w14:paraId="60508078" w14:textId="29F60E91" w:rsidR="00E17919" w:rsidRDefault="00E17919" w:rsidP="009D44DC">
      <w:r>
        <w:t xml:space="preserve">“The arts in Wales continued to face huge challenges </w:t>
      </w:r>
      <w:proofErr w:type="gramStart"/>
      <w:r>
        <w:t>as a result of</w:t>
      </w:r>
      <w:proofErr w:type="gramEnd"/>
      <w:r>
        <w:t xml:space="preserve"> Covid-19 during 2021/22 and, as in the previous year, our most marginalised communities have been impacted the hardest. The culmination of the work on Widening Engagement also presented us with significant challenges and called for us to continue our deep reflection on the work we’ve been doing to advance the equality agenda. The publication of the Widening Engagement Action Plan represents a pivotal moment for us and, as this becomes central to the work of this Committee moving forward, I have confidence that we are truly on a path towards change.”</w:t>
      </w:r>
    </w:p>
    <w:p w14:paraId="0B5D65C5" w14:textId="77777777" w:rsidR="00E17919" w:rsidRDefault="00E17919" w:rsidP="009D44DC">
      <w:r>
        <w:t xml:space="preserve"> </w:t>
      </w:r>
      <w:proofErr w:type="spellStart"/>
      <w:r>
        <w:t>Devinda</w:t>
      </w:r>
      <w:proofErr w:type="spellEnd"/>
      <w:r>
        <w:t xml:space="preserve"> De Silva Chair, Strategic Equality Committee </w:t>
      </w:r>
    </w:p>
    <w:p w14:paraId="5B4A67DE" w14:textId="6FB6CF1C" w:rsidR="00E17919" w:rsidRDefault="00E17919" w:rsidP="009D44DC">
      <w:pPr>
        <w:rPr>
          <w:rFonts w:eastAsiaTheme="majorEastAsia" w:cstheme="majorBidi"/>
          <w:sz w:val="40"/>
          <w:szCs w:val="26"/>
        </w:rPr>
      </w:pPr>
      <w:r>
        <w:t>(Appointed as Chair April 2021)</w:t>
      </w:r>
      <w:r>
        <w:br w:type="page"/>
      </w:r>
    </w:p>
    <w:p w14:paraId="673E1DE8" w14:textId="060A7C2C" w:rsidR="00E17919" w:rsidRDefault="00E17919" w:rsidP="008D7822">
      <w:pPr>
        <w:pStyle w:val="Heading2"/>
      </w:pPr>
      <w:bookmarkStart w:id="5" w:name="_Toc139014846"/>
      <w:r>
        <w:lastRenderedPageBreak/>
        <w:t>Our Equality Plan objectives</w:t>
      </w:r>
      <w:bookmarkEnd w:id="5"/>
    </w:p>
    <w:p w14:paraId="550E4A1C" w14:textId="77777777" w:rsidR="00E17919" w:rsidRDefault="00E17919" w:rsidP="00086BD6">
      <w:pPr>
        <w:spacing w:before="480" w:after="120"/>
      </w:pPr>
      <w:r>
        <w:t>Our plan has five objectives. These are:</w:t>
      </w:r>
    </w:p>
    <w:p w14:paraId="203E058A" w14:textId="013241F3" w:rsidR="00E17919" w:rsidRDefault="00E17919" w:rsidP="00A130B6">
      <w:pPr>
        <w:pStyle w:val="ListParagraph"/>
        <w:numPr>
          <w:ilvl w:val="0"/>
          <w:numId w:val="11"/>
        </w:numPr>
        <w:spacing w:line="360" w:lineRule="auto"/>
        <w:ind w:hanging="720"/>
      </w:pPr>
      <w:r>
        <w:t xml:space="preserve">Engage, consult with and inform our partners and the communities we aim to reach and in so doing challenge and question our knowledge and </w:t>
      </w:r>
      <w:proofErr w:type="gramStart"/>
      <w:r>
        <w:t>experience</w:t>
      </w:r>
      <w:proofErr w:type="gramEnd"/>
    </w:p>
    <w:p w14:paraId="44C785E6" w14:textId="3483D3F7" w:rsidR="00E17919" w:rsidRDefault="00E17919" w:rsidP="00A130B6">
      <w:pPr>
        <w:pStyle w:val="ListParagraph"/>
        <w:numPr>
          <w:ilvl w:val="0"/>
          <w:numId w:val="11"/>
        </w:numPr>
        <w:spacing w:line="360" w:lineRule="auto"/>
        <w:ind w:hanging="720"/>
      </w:pPr>
      <w:r>
        <w:t>Develop a workforce that reflects the diversity of Wales by increasing the number of people with protected characteristics employed in the arts and represented in the governance of arts organisations.</w:t>
      </w:r>
    </w:p>
    <w:p w14:paraId="08CEFE04" w14:textId="176B10E1" w:rsidR="00E17919" w:rsidRDefault="00E17919" w:rsidP="00A130B6">
      <w:pPr>
        <w:pStyle w:val="ListParagraph"/>
        <w:numPr>
          <w:ilvl w:val="0"/>
          <w:numId w:val="11"/>
        </w:numPr>
        <w:spacing w:line="360" w:lineRule="auto"/>
        <w:ind w:hanging="720"/>
      </w:pPr>
      <w:r>
        <w:t>Work to eliminate pay gaps across the arts sector and ensure fair and equal pay for all artists working in Wales.</w:t>
      </w:r>
    </w:p>
    <w:p w14:paraId="2644670A" w14:textId="322B62A4" w:rsidR="00E17919" w:rsidRDefault="00E17919" w:rsidP="00A130B6">
      <w:pPr>
        <w:pStyle w:val="ListParagraph"/>
        <w:numPr>
          <w:ilvl w:val="0"/>
          <w:numId w:val="11"/>
        </w:numPr>
        <w:spacing w:line="360" w:lineRule="auto"/>
        <w:ind w:hanging="720"/>
      </w:pPr>
      <w:r>
        <w:t>Increase the number of diverse artists and arts organisations accessing funding and support to create and present their own art on their own terms.</w:t>
      </w:r>
    </w:p>
    <w:p w14:paraId="73CCD8D4" w14:textId="7D7AF06C" w:rsidR="00E17919" w:rsidRDefault="00E17919" w:rsidP="00A130B6">
      <w:pPr>
        <w:pStyle w:val="ListParagraph"/>
        <w:numPr>
          <w:ilvl w:val="0"/>
          <w:numId w:val="11"/>
        </w:numPr>
        <w:spacing w:line="360" w:lineRule="auto"/>
        <w:ind w:hanging="720"/>
      </w:pPr>
      <w:r>
        <w:t>Increase the diversity of those engaging with the arts as audience members and creative participants.</w:t>
      </w:r>
    </w:p>
    <w:p w14:paraId="10617C20" w14:textId="4D34F59B" w:rsidR="00E17919" w:rsidRDefault="00E17919" w:rsidP="009D44DC">
      <w:pPr>
        <w:rPr>
          <w:rFonts w:eastAsiaTheme="majorEastAsia" w:cstheme="majorBidi"/>
          <w:sz w:val="40"/>
          <w:szCs w:val="26"/>
        </w:rPr>
      </w:pPr>
      <w:r>
        <w:lastRenderedPageBreak/>
        <w:t xml:space="preserve">These five objectives cover all protected characteristics. However, when we published our new plan in </w:t>
      </w:r>
      <w:proofErr w:type="gramStart"/>
      <w:r>
        <w:t>2020</w:t>
      </w:r>
      <w:proofErr w:type="gramEnd"/>
      <w:r>
        <w:t xml:space="preserve"> we continued to give specific emphasis to increasing engagement amongst people from culturally and ethnically diverse backgrounds and deaf, disabled and neurodivergent people. </w:t>
      </w:r>
      <w:r>
        <w:br w:type="page"/>
      </w:r>
    </w:p>
    <w:p w14:paraId="6AB9EEFE" w14:textId="452DFD76" w:rsidR="00E17919" w:rsidRDefault="00E17919" w:rsidP="008D7822">
      <w:pPr>
        <w:pStyle w:val="Heading2"/>
      </w:pPr>
      <w:bookmarkStart w:id="6" w:name="_Toc139014847"/>
      <w:r>
        <w:lastRenderedPageBreak/>
        <w:t>What key actions did we progress this year?</w:t>
      </w:r>
      <w:bookmarkEnd w:id="6"/>
    </w:p>
    <w:p w14:paraId="7A128067" w14:textId="77777777" w:rsidR="00E17919" w:rsidRDefault="00E17919" w:rsidP="009D44DC">
      <w:r>
        <w:t xml:space="preserve">A major focus for our work in 2021/22 was the completion and publication of the Widening Engagement reports we had commissioned in the previous year, in partnership with </w:t>
      </w:r>
      <w:proofErr w:type="spellStart"/>
      <w:r>
        <w:t>Amgueddfa</w:t>
      </w:r>
      <w:proofErr w:type="spellEnd"/>
      <w:r>
        <w:t xml:space="preserve"> Cymru. The three areas of research focused on engagement with those communities we, and the work we supported, had consistently failed to reach. This work involved hearing the voices of people with lived experience sharing stories that were uncomfortable and challenging to hear, but vital to bringing about the change that is needed if we are to deliver the ambitious goals set out in our plan.</w:t>
      </w:r>
    </w:p>
    <w:p w14:paraId="32D4F278" w14:textId="77777777" w:rsidR="00E17919" w:rsidRDefault="00E17919" w:rsidP="009D44DC">
      <w:r>
        <w:t xml:space="preserve">The final reports and the development of a joint action plan with </w:t>
      </w:r>
      <w:proofErr w:type="spellStart"/>
      <w:r>
        <w:t>Amgueddfa</w:t>
      </w:r>
      <w:proofErr w:type="spellEnd"/>
      <w:r>
        <w:t xml:space="preserve"> Cymru were at the centre of our work during the year. The reports called for significant actions to develop and improve arts experiences for deaf and disabled people, for people from ethnically and culturally diverse backgrounds and for those experiencing social deprivation and poverty. They called </w:t>
      </w:r>
      <w:r>
        <w:lastRenderedPageBreak/>
        <w:t xml:space="preserve">for positive action to tackle racism and ableism. Our joint action plan was published in February 2022. </w:t>
      </w:r>
    </w:p>
    <w:p w14:paraId="2E66B398" w14:textId="77777777" w:rsidR="00E17919" w:rsidRDefault="00E17919" w:rsidP="009D44DC">
      <w:r>
        <w:t xml:space="preserve">As we stepped into 2021/22, we announced the appointment of our Agent for Change, Andrew Ogun. During the year Andrew was at the heart of conversations, both internal and external, focused on making changes to policies and processes and the removal of barriers that have prevented equity of access to us and our work. </w:t>
      </w:r>
    </w:p>
    <w:p w14:paraId="3504AB6E" w14:textId="77777777" w:rsidR="00E17919" w:rsidRDefault="00E17919" w:rsidP="009D44DC">
      <w:r>
        <w:t>The arts sector and wider society were still impacted by Covid-19 during this year and once again we concentrated on supporting artists and arts organisations as they met the challenges of re-emerging to create and share work with audiences.</w:t>
      </w:r>
    </w:p>
    <w:p w14:paraId="0F31734E" w14:textId="77777777" w:rsidR="00E17919" w:rsidRDefault="00E17919" w:rsidP="009D44DC">
      <w:r>
        <w:t>Our Strategic Equality Committee was clear in its deliberations that the lessons of the last two years should not be lost when we revisit and re-articulate our equality plan moving forward. The #</w:t>
      </w:r>
      <w:r w:rsidRPr="009D44DC">
        <w:t>WeShallNotBeRemoved campaign had articulated with a</w:t>
      </w:r>
      <w:r>
        <w:t xml:space="preserve">bsolute clarity the impact the pandemic had on disabled people. </w:t>
      </w:r>
    </w:p>
    <w:p w14:paraId="772130BA" w14:textId="77777777" w:rsidR="00E17919" w:rsidRDefault="00E17919" w:rsidP="009D44DC">
      <w:r>
        <w:lastRenderedPageBreak/>
        <w:t>Our key actions included:</w:t>
      </w:r>
    </w:p>
    <w:p w14:paraId="4F575504" w14:textId="5C7077D3" w:rsidR="00E17919" w:rsidRDefault="00E17919" w:rsidP="002B649D">
      <w:pPr>
        <w:ind w:left="709" w:hanging="709"/>
      </w:pPr>
      <w:r>
        <w:t>•</w:t>
      </w:r>
      <w:r>
        <w:tab/>
        <w:t>We undertook a detailed review of the second year of our Strategic Equality Plan for 2020-24. A specific focus emerging from this review will be to address barriers faced by people living with poverty and for this to be a key action in our 2022-23 plan</w:t>
      </w:r>
      <w:r w:rsidR="00767D9F">
        <w:t>.</w:t>
      </w:r>
      <w:r>
        <w:t xml:space="preserve"> </w:t>
      </w:r>
    </w:p>
    <w:p w14:paraId="2145318E" w14:textId="7D23AB53" w:rsidR="00E17919" w:rsidRDefault="00E17919" w:rsidP="002B649D">
      <w:pPr>
        <w:ind w:left="709" w:hanging="709"/>
      </w:pPr>
      <w:r>
        <w:t>•</w:t>
      </w:r>
      <w:r>
        <w:tab/>
        <w:t xml:space="preserve">We published a joint </w:t>
      </w:r>
      <w:hyperlink r:id="rId14" w:history="1">
        <w:r w:rsidRPr="00176018">
          <w:rPr>
            <w:rStyle w:val="Hyperlink"/>
          </w:rPr>
          <w:t>Widening Engagement Action Plan</w:t>
        </w:r>
      </w:hyperlink>
      <w:r>
        <w:t xml:space="preserve"> with </w:t>
      </w:r>
      <w:proofErr w:type="spellStart"/>
      <w:r>
        <w:t>Amgueddfa</w:t>
      </w:r>
      <w:proofErr w:type="spellEnd"/>
      <w:r>
        <w:t xml:space="preserve"> Cymru link</w:t>
      </w:r>
      <w:r w:rsidR="00767D9F">
        <w:t>.</w:t>
      </w:r>
    </w:p>
    <w:p w14:paraId="46BC4D61" w14:textId="6CCC8553" w:rsidR="00E17919" w:rsidRDefault="00E17919" w:rsidP="002B649D">
      <w:pPr>
        <w:ind w:left="709" w:hanging="709"/>
      </w:pPr>
      <w:r>
        <w:t>•</w:t>
      </w:r>
      <w:r>
        <w:tab/>
        <w:t>We continued to monitor where our funding has reached. Data has once again shown an increase in the number of successful funding applications, particularly to our new Connect and Flourish Scheme, from disability-led organisations and those led by artists from culturally and ethnically diverse backgrounds</w:t>
      </w:r>
      <w:r w:rsidR="00767D9F">
        <w:t>.</w:t>
      </w:r>
      <w:r>
        <w:t xml:space="preserve"> </w:t>
      </w:r>
    </w:p>
    <w:p w14:paraId="0621400C" w14:textId="0A07EAEF" w:rsidR="00E17919" w:rsidRDefault="00E17919" w:rsidP="002B649D">
      <w:pPr>
        <w:ind w:left="709" w:hanging="709"/>
      </w:pPr>
      <w:r>
        <w:t>•</w:t>
      </w:r>
      <w:r>
        <w:tab/>
        <w:t>We continued to support organisations on their business development journey through our Creative Steps scheme and further progressed our work on developing a strand for individual artists and creatives</w:t>
      </w:r>
      <w:r w:rsidR="00767D9F">
        <w:t>.</w:t>
      </w:r>
    </w:p>
    <w:p w14:paraId="30282320" w14:textId="1DF98FA2" w:rsidR="00E17919" w:rsidRDefault="00E17919" w:rsidP="002B649D">
      <w:pPr>
        <w:ind w:left="709" w:hanging="709"/>
      </w:pPr>
      <w:r>
        <w:lastRenderedPageBreak/>
        <w:t>•</w:t>
      </w:r>
      <w:r>
        <w:tab/>
        <w:t xml:space="preserve">We began working in partnership with the other UK Arts Councils to explore a UK-wide Arts Access Card scheme based on our hugely successful </w:t>
      </w:r>
      <w:proofErr w:type="spellStart"/>
      <w:r>
        <w:t>Hynt</w:t>
      </w:r>
      <w:proofErr w:type="spellEnd"/>
      <w:r>
        <w:t xml:space="preserve"> scheme</w:t>
      </w:r>
      <w:r w:rsidR="00767D9F">
        <w:t>.</w:t>
      </w:r>
      <w:r>
        <w:t xml:space="preserve"> </w:t>
      </w:r>
    </w:p>
    <w:p w14:paraId="39E0D4BB" w14:textId="77777777" w:rsidR="00F9416C" w:rsidRDefault="00F9416C" w:rsidP="009D44DC">
      <w:r>
        <w:br w:type="page"/>
      </w:r>
    </w:p>
    <w:p w14:paraId="1C6E9DC5" w14:textId="0F07D0C5" w:rsidR="00E17919" w:rsidRDefault="00E17919" w:rsidP="008D7822">
      <w:pPr>
        <w:pStyle w:val="Heading3"/>
      </w:pPr>
      <w:bookmarkStart w:id="7" w:name="_Toc139014848"/>
      <w:r>
        <w:lastRenderedPageBreak/>
        <w:t>Creative Steps Case study - Taking Flight is a disability led Theatre Company</w:t>
      </w:r>
      <w:bookmarkEnd w:id="7"/>
    </w:p>
    <w:p w14:paraId="6713C068" w14:textId="77777777" w:rsidR="00E66218" w:rsidRPr="007279F7" w:rsidRDefault="00E66218" w:rsidP="002B0F97">
      <w:pPr>
        <w:spacing w:before="480" w:after="0"/>
        <w:rPr>
          <w:b/>
          <w:bCs/>
        </w:rPr>
      </w:pPr>
      <w:r w:rsidRPr="007279F7">
        <w:rPr>
          <w:b/>
          <w:bCs/>
        </w:rPr>
        <w:t xml:space="preserve">A changing picture </w:t>
      </w:r>
    </w:p>
    <w:p w14:paraId="6577CB5D" w14:textId="37621F71" w:rsidR="00E66218" w:rsidRDefault="00E66218" w:rsidP="009D44DC">
      <w:r>
        <w:t xml:space="preserve">A </w:t>
      </w:r>
      <w:proofErr w:type="gramStart"/>
      <w:r>
        <w:t>one year</w:t>
      </w:r>
      <w:proofErr w:type="gramEnd"/>
      <w:r>
        <w:t xml:space="preserve"> grant of £103,244</w:t>
      </w:r>
      <w:r w:rsidR="001E575B">
        <w:t xml:space="preserve"> </w:t>
      </w:r>
      <w:r>
        <w:t>(including access costs of</w:t>
      </w:r>
      <w:r w:rsidR="001E575B">
        <w:t xml:space="preserve"> </w:t>
      </w:r>
      <w:r>
        <w:t>£26,500) was awarded to</w:t>
      </w:r>
      <w:r w:rsidR="001E575B">
        <w:t xml:space="preserve"> </w:t>
      </w:r>
      <w:r>
        <w:t>enable Taking Flight to continue</w:t>
      </w:r>
      <w:r w:rsidR="001E575B">
        <w:t xml:space="preserve"> </w:t>
      </w:r>
      <w:r>
        <w:t>to develop organisationally</w:t>
      </w:r>
      <w:r w:rsidR="001E575B">
        <w:t xml:space="preserve"> </w:t>
      </w:r>
      <w:r>
        <w:t>to include staff and salary reorganisation,</w:t>
      </w:r>
      <w:r w:rsidR="001E575B">
        <w:t xml:space="preserve"> </w:t>
      </w:r>
      <w:r>
        <w:t>ongoing support</w:t>
      </w:r>
      <w:r w:rsidR="001E575B">
        <w:t xml:space="preserve"> </w:t>
      </w:r>
      <w:r>
        <w:t>for trustee development, Welsh</w:t>
      </w:r>
      <w:r w:rsidR="001E575B">
        <w:t xml:space="preserve"> </w:t>
      </w:r>
      <w:r>
        <w:t>language and web presence,</w:t>
      </w:r>
      <w:r w:rsidR="001E575B">
        <w:t xml:space="preserve"> </w:t>
      </w:r>
      <w:r>
        <w:t>marketing consultant and new</w:t>
      </w:r>
      <w:r w:rsidR="001E575B">
        <w:t xml:space="preserve"> </w:t>
      </w:r>
      <w:r>
        <w:t>posts for inclusion/ access and</w:t>
      </w:r>
      <w:r w:rsidR="001E575B">
        <w:t xml:space="preserve"> </w:t>
      </w:r>
      <w:r>
        <w:t>technical services (specific posts</w:t>
      </w:r>
      <w:r w:rsidR="001E575B">
        <w:t xml:space="preserve"> </w:t>
      </w:r>
      <w:r>
        <w:t>for Deaf/Disabled practitioners).</w:t>
      </w:r>
    </w:p>
    <w:p w14:paraId="2A40137F" w14:textId="5E0C1F26" w:rsidR="00E66218" w:rsidRDefault="00E66218" w:rsidP="009D44DC">
      <w:r>
        <w:t>The activity enabled the</w:t>
      </w:r>
      <w:r w:rsidR="001E575B">
        <w:t xml:space="preserve"> </w:t>
      </w:r>
      <w:r>
        <w:t>company to support and invest</w:t>
      </w:r>
      <w:r w:rsidR="001E575B">
        <w:t xml:space="preserve"> </w:t>
      </w:r>
      <w:r>
        <w:t>in its staff team and Board at a</w:t>
      </w:r>
      <w:r w:rsidR="001E575B">
        <w:t xml:space="preserve"> </w:t>
      </w:r>
      <w:r>
        <w:t>crucial time, including in relation</w:t>
      </w:r>
      <w:r w:rsidR="001E575B">
        <w:t xml:space="preserve"> </w:t>
      </w:r>
      <w:r>
        <w:t>to ensuring their wellbeing</w:t>
      </w:r>
      <w:r w:rsidR="001E575B">
        <w:t xml:space="preserve"> </w:t>
      </w:r>
      <w:r>
        <w:t>since the pandemic. It enabled</w:t>
      </w:r>
      <w:r w:rsidR="001E575B">
        <w:t xml:space="preserve"> </w:t>
      </w:r>
      <w:r>
        <w:t>them to focus on developing</w:t>
      </w:r>
      <w:r w:rsidR="001E575B">
        <w:t xml:space="preserve"> </w:t>
      </w:r>
      <w:r>
        <w:t>their capacity, profile/</w:t>
      </w:r>
      <w:proofErr w:type="gramStart"/>
      <w:r>
        <w:t>reach</w:t>
      </w:r>
      <w:proofErr w:type="gramEnd"/>
      <w:r>
        <w:t xml:space="preserve"> and</w:t>
      </w:r>
      <w:r w:rsidR="001E575B">
        <w:t xml:space="preserve"> </w:t>
      </w:r>
      <w:r>
        <w:t>sustainability.</w:t>
      </w:r>
    </w:p>
    <w:p w14:paraId="4FCB80A7" w14:textId="4C17077E" w:rsidR="00E66218" w:rsidRPr="00E66218" w:rsidRDefault="00E66218" w:rsidP="009D44DC">
      <w:r>
        <w:t>Taking Flight is building the next</w:t>
      </w:r>
      <w:r w:rsidR="001E575B">
        <w:t xml:space="preserve"> </w:t>
      </w:r>
      <w:r>
        <w:t>generation of disabled leaders</w:t>
      </w:r>
      <w:r w:rsidR="001E575B">
        <w:t xml:space="preserve"> </w:t>
      </w:r>
      <w:r>
        <w:t>in the arts and continues to</w:t>
      </w:r>
      <w:r w:rsidR="001E575B">
        <w:t xml:space="preserve"> </w:t>
      </w:r>
      <w:r>
        <w:t>influence the arts sector across</w:t>
      </w:r>
      <w:r w:rsidR="001E575B">
        <w:t xml:space="preserve"> </w:t>
      </w:r>
      <w:r>
        <w:t>Wales.</w:t>
      </w:r>
    </w:p>
    <w:p w14:paraId="7DF60073" w14:textId="77777777" w:rsidR="000136B4" w:rsidRPr="007279F7" w:rsidRDefault="000136B4" w:rsidP="0059304E">
      <w:pPr>
        <w:spacing w:before="1280"/>
        <w:rPr>
          <w:b/>
          <w:bCs/>
        </w:rPr>
      </w:pPr>
      <w:r w:rsidRPr="007279F7">
        <w:rPr>
          <w:b/>
          <w:bCs/>
        </w:rPr>
        <w:lastRenderedPageBreak/>
        <w:t>Key outcomes</w:t>
      </w:r>
    </w:p>
    <w:p w14:paraId="532630C4" w14:textId="5E5A0DBC" w:rsidR="000136B4" w:rsidRDefault="000136B4" w:rsidP="007279F7">
      <w:pPr>
        <w:pStyle w:val="ListParagraph"/>
        <w:spacing w:line="360" w:lineRule="auto"/>
      </w:pPr>
      <w:r>
        <w:t>Implementation of new staff structure, including two new posts employing and developing disabled people.</w:t>
      </w:r>
    </w:p>
    <w:p w14:paraId="57D8B76E" w14:textId="54F65EB2" w:rsidR="000136B4" w:rsidRDefault="000136B4" w:rsidP="007279F7">
      <w:pPr>
        <w:pStyle w:val="ListParagraph"/>
        <w:spacing w:line="360" w:lineRule="auto"/>
      </w:pPr>
      <w:r>
        <w:t>Increased capacity enabled the development of their access/inclusion services to support the industry and to become more welcoming to deaf and disabled audiences.</w:t>
      </w:r>
    </w:p>
    <w:p w14:paraId="3468655D" w14:textId="77777777" w:rsidR="008633C2" w:rsidRDefault="000136B4" w:rsidP="007279F7">
      <w:pPr>
        <w:pStyle w:val="ListParagraph"/>
        <w:spacing w:line="360" w:lineRule="auto"/>
      </w:pPr>
      <w:r>
        <w:t>Strengthened, more engaged, Board.</w:t>
      </w:r>
    </w:p>
    <w:p w14:paraId="4336B229" w14:textId="77777777" w:rsidR="004A4D53" w:rsidRDefault="004A4D53" w:rsidP="0092440C">
      <w:pPr>
        <w:spacing w:before="360" w:after="720"/>
      </w:pPr>
      <w:r>
        <w:t>“This organisational development project has supported all activities we undertake by providing stability and opportunity for growth and development of ourselves as individuals, as a team, and as a creative community passionate about equality, inclusion and access.”</w:t>
      </w:r>
    </w:p>
    <w:p w14:paraId="26C2D112" w14:textId="77777777" w:rsidR="00C2222B" w:rsidRDefault="00C2222B" w:rsidP="009D44DC">
      <w:r w:rsidRPr="00C2222B">
        <w:rPr>
          <w:sz w:val="56"/>
          <w:szCs w:val="40"/>
        </w:rPr>
        <w:sym w:font="Wingdings" w:char="F0FE"/>
      </w:r>
      <w:r>
        <w:tab/>
      </w:r>
      <w:r>
        <w:tab/>
      </w:r>
      <w:r w:rsidR="00F57B6D">
        <w:t>Prosperity</w:t>
      </w:r>
    </w:p>
    <w:p w14:paraId="49540BF4" w14:textId="6688BCE0" w:rsidR="00F57B6D" w:rsidRDefault="00C2222B" w:rsidP="009D44DC">
      <w:r w:rsidRPr="00C2222B">
        <w:rPr>
          <w:sz w:val="56"/>
          <w:szCs w:val="40"/>
        </w:rPr>
        <w:sym w:font="Wingdings" w:char="F0FE"/>
      </w:r>
      <w:r>
        <w:tab/>
      </w:r>
      <w:r>
        <w:tab/>
      </w:r>
      <w:r w:rsidR="00F57B6D">
        <w:t>Culture</w:t>
      </w:r>
    </w:p>
    <w:p w14:paraId="3E4A20FB" w14:textId="5B275660" w:rsidR="000136B4" w:rsidRDefault="00C2222B" w:rsidP="009D44DC">
      <w:r w:rsidRPr="00C2222B">
        <w:rPr>
          <w:sz w:val="56"/>
          <w:szCs w:val="40"/>
        </w:rPr>
        <w:sym w:font="Wingdings" w:char="F0FE"/>
      </w:r>
      <w:r>
        <w:tab/>
      </w:r>
      <w:r>
        <w:tab/>
      </w:r>
      <w:r w:rsidR="00F57B6D">
        <w:t>Equality</w:t>
      </w:r>
      <w:r w:rsidR="00F9416C">
        <w:br w:type="page"/>
      </w:r>
    </w:p>
    <w:p w14:paraId="7F93BEA0" w14:textId="5424DBF4" w:rsidR="00E17919" w:rsidRDefault="00E17919" w:rsidP="008D7822">
      <w:pPr>
        <w:pStyle w:val="Heading2"/>
      </w:pPr>
      <w:bookmarkStart w:id="8" w:name="_Toc139014849"/>
      <w:r>
        <w:lastRenderedPageBreak/>
        <w:t>What does our data tell us about how well we have done?</w:t>
      </w:r>
      <w:bookmarkEnd w:id="8"/>
      <w:r>
        <w:t xml:space="preserve"> </w:t>
      </w:r>
    </w:p>
    <w:p w14:paraId="6204EC3F" w14:textId="77777777" w:rsidR="00E17919" w:rsidRDefault="00E17919" w:rsidP="008D7822">
      <w:pPr>
        <w:pStyle w:val="Heading3"/>
      </w:pPr>
      <w:bookmarkStart w:id="9" w:name="_Toc139014850"/>
      <w:r>
        <w:t>Our data for 2021-22 shows us the following:</w:t>
      </w:r>
      <w:bookmarkEnd w:id="9"/>
    </w:p>
    <w:p w14:paraId="71E80AEB" w14:textId="77777777" w:rsidR="00E17919" w:rsidRDefault="00E17919" w:rsidP="00674753">
      <w:pPr>
        <w:ind w:left="709" w:hanging="709"/>
      </w:pPr>
      <w:r>
        <w:t>•</w:t>
      </w:r>
      <w:r>
        <w:tab/>
        <w:t xml:space="preserve">Most staff and applicants identify as heterosexual/straight. A higher percentage of applicants (86.2%) than staff (71.1%) identify as heterosexual/straight. </w:t>
      </w:r>
    </w:p>
    <w:p w14:paraId="582650F0" w14:textId="77777777" w:rsidR="00E17919" w:rsidRDefault="00E17919" w:rsidP="00674753">
      <w:pPr>
        <w:ind w:left="709" w:hanging="709"/>
      </w:pPr>
      <w:r>
        <w:t>•</w:t>
      </w:r>
      <w:r>
        <w:tab/>
        <w:t>Most staff (57.6%) and applicants (72.4%) identify as Welsh, with British being the second highest percentage (23.9% of staff and 17.2% of applicants). All other national identities selected by staff and applicants have been suppressed and not included in the graphs to ensure that the data is not identifiable.</w:t>
      </w:r>
    </w:p>
    <w:p w14:paraId="6D7572DD" w14:textId="77777777" w:rsidR="00E17919" w:rsidRDefault="00E17919" w:rsidP="00674753">
      <w:pPr>
        <w:ind w:left="709" w:hanging="709"/>
      </w:pPr>
      <w:r>
        <w:t>•</w:t>
      </w:r>
      <w:r>
        <w:tab/>
        <w:t xml:space="preserve">Most applicants (39.1%) have recorded that they have no religion. This figure has increased year on year. We cannot compare that with the number of employees who have recorded this option as that data has been suppressed. Most staff have recorded their religion as Christian (31.5%), with this being the second highest percentage for </w:t>
      </w:r>
      <w:r>
        <w:lastRenderedPageBreak/>
        <w:t xml:space="preserve">applicants (33.3%). A large proportion of staff have not specified their religion (18.5%). </w:t>
      </w:r>
    </w:p>
    <w:p w14:paraId="04ACD814" w14:textId="77777777" w:rsidR="00E17919" w:rsidRDefault="00E17919" w:rsidP="00674753">
      <w:pPr>
        <w:ind w:left="709" w:hanging="709"/>
      </w:pPr>
      <w:r>
        <w:t>•</w:t>
      </w:r>
      <w:r>
        <w:tab/>
        <w:t xml:space="preserve">88% of staff have recorded their ethnicity as either White, White Asian, White British, White English, White Irish, White Other and White Welsh. 86.2% of applicants have identified as White British, White </w:t>
      </w:r>
      <w:proofErr w:type="gramStart"/>
      <w:r>
        <w:t>Welsh</w:t>
      </w:r>
      <w:proofErr w:type="gramEnd"/>
      <w:r>
        <w:t xml:space="preserve"> or White Irish. </w:t>
      </w:r>
    </w:p>
    <w:p w14:paraId="34766130" w14:textId="77777777" w:rsidR="00E17919" w:rsidRDefault="00E17919" w:rsidP="00674753">
      <w:pPr>
        <w:ind w:left="709" w:hanging="709"/>
      </w:pPr>
      <w:r>
        <w:t>•</w:t>
      </w:r>
      <w:r>
        <w:tab/>
        <w:t>The Equality, Diversity and Inclusion Monitoring Form has been updated to include a larger number of options that applicants can choose from when recording their ethnicity. 3.4% of applicants chose ‘prefer not to say’. All other data has been suppressed for both staff and applicants to ensure that the data is not identifiable.</w:t>
      </w:r>
    </w:p>
    <w:p w14:paraId="5D49433A" w14:textId="77777777" w:rsidR="00E17919" w:rsidRDefault="00E17919" w:rsidP="00674753">
      <w:pPr>
        <w:ind w:left="709" w:hanging="709"/>
      </w:pPr>
      <w:r>
        <w:t>•</w:t>
      </w:r>
      <w:r>
        <w:tab/>
        <w:t xml:space="preserve">We ask our staff to record whether they are disabled as per the legal definition and social model. Whilst the number of staff recording this information has increased since last year (54.3% of staff have now recorded a response to the legal definition compared with just 36.7% last year, and 54.3% have recorded a response to social model </w:t>
      </w:r>
      <w:r>
        <w:lastRenderedPageBreak/>
        <w:t xml:space="preserve">compared with 37.7% last year), there is still work to be done if we want to get an accurate picture of the composition of our staff. </w:t>
      </w:r>
    </w:p>
    <w:p w14:paraId="7886A1C7" w14:textId="77777777" w:rsidR="00E17919" w:rsidRDefault="00E17919" w:rsidP="00674753">
      <w:pPr>
        <w:ind w:left="709" w:hanging="709"/>
      </w:pPr>
      <w:r>
        <w:t>•</w:t>
      </w:r>
      <w:r>
        <w:tab/>
        <w:t xml:space="preserve">Most staff and applicants were aged between 40-49. Only 25% of staff were aged under 40, compared with 42.5% of applicants. There were no staff and no applicants ages under 20. Individual percentages for 50-59 and over 60 cannot be provided for applicants as it may be identifiable, but the overall percentage of applicants over 50 was 16.1% compared with 27.2% of staff. </w:t>
      </w:r>
    </w:p>
    <w:p w14:paraId="772FB220" w14:textId="77777777" w:rsidR="00E17919" w:rsidRDefault="00E17919" w:rsidP="00674753">
      <w:pPr>
        <w:ind w:left="709" w:hanging="709"/>
      </w:pPr>
      <w:r>
        <w:t>•</w:t>
      </w:r>
      <w:r>
        <w:tab/>
        <w:t>Due to the length of service of male employees at grades B to D being longer than female employees, and therefore at the top of their salary grade, there is a small difference between female and male average salaries, with male average salaries around 2% higher than female salaries. With annual increments awarded in August each year, the margins will close as more females reach the top of their salary grade.</w:t>
      </w:r>
    </w:p>
    <w:p w14:paraId="7BD179F2" w14:textId="77777777" w:rsidR="00E17919" w:rsidRDefault="00E17919" w:rsidP="009D44DC">
      <w:r>
        <w:lastRenderedPageBreak/>
        <w:t xml:space="preserve">All our staff are asked to complete the equality, diversity and monitoring section of our self-service HR system, Cascade. All new starters are encouraged to update this information as part of their induction to the system. Reminders are sent to all staff, a couple of times a year, reminding them of why we ask them to provide this information and staff are aware of the ‘prefer not to say’ option. Nevertheless, some staff have yet to update this information although we have seen an improvement compared with previous years. </w:t>
      </w:r>
    </w:p>
    <w:p w14:paraId="2E4030BA" w14:textId="77777777" w:rsidR="00E17919" w:rsidRDefault="00E17919" w:rsidP="009D44DC">
      <w:r>
        <w:t xml:space="preserve">We ask all external job applicants to complete and submit an Equality, Diversity and Inclusion Monitoring Form when submitting their application. During the 2021-22, 96.6% of applicants completed the form when asked to do so (compared with 73.2% of applicants during the previous financial year). </w:t>
      </w:r>
    </w:p>
    <w:p w14:paraId="6F9A1421" w14:textId="77777777" w:rsidR="00E17919" w:rsidRDefault="00E17919" w:rsidP="009D44DC">
      <w:r>
        <w:t xml:space="preserve">Our Equality, Diversity and Inclusion Monitoring Form was updated twice in 2021-22. We worked with the Arts Council’s research team and with Stonewall to revise the categories and options included on the form, as well as the terminology used. Later in the year we </w:t>
      </w:r>
      <w:r>
        <w:lastRenderedPageBreak/>
        <w:t>worked with the Welsh Language Enabler/</w:t>
      </w:r>
      <w:proofErr w:type="spellStart"/>
      <w:r>
        <w:t>Ysgogwr</w:t>
      </w:r>
      <w:proofErr w:type="spellEnd"/>
      <w:r>
        <w:t xml:space="preserve"> y </w:t>
      </w:r>
      <w:proofErr w:type="spellStart"/>
      <w:r>
        <w:t>Gymraeg</w:t>
      </w:r>
      <w:proofErr w:type="spellEnd"/>
      <w:r>
        <w:t xml:space="preserve"> to amend the information that we asked applicants in relation to the Welsh language. Previously we only asked for language preference, but now we ask about Welsh language ability and learning status. This will be reported on in more detail in our 2022-23 annual report.</w:t>
      </w:r>
    </w:p>
    <w:p w14:paraId="5971D8CE" w14:textId="77777777" w:rsidR="00E17919" w:rsidRDefault="00E17919" w:rsidP="009D44DC">
      <w:r>
        <w:t xml:space="preserve">Our Arts Portfolio Wales data for 2021-22 showed a significant improvement in the representation of people with protected characteristics both as employees and members of Boards of Management. </w:t>
      </w:r>
    </w:p>
    <w:p w14:paraId="7F974367" w14:textId="77777777" w:rsidR="00E17919" w:rsidRDefault="00E17919" w:rsidP="009D44DC">
      <w:r>
        <w:t>The monitoring of our Arts Portfolio Wales clients in 2021/22 showed the beginning of a culture change across the organisations. There were marked increases particularly in the number of disabled people and those from culturally and ethnically diverse backgrounds employed by these organisations.  The tables below show 38% increase on the former and a welcome 44.8% increase on the latter. The age profile of those employed also saw a change with an increase in younger people.</w:t>
      </w:r>
    </w:p>
    <w:p w14:paraId="6A7D76D4" w14:textId="77777777" w:rsidR="007F70BD" w:rsidRDefault="00E17919" w:rsidP="009D44DC">
      <w:pPr>
        <w:sectPr w:rsidR="007F70BD" w:rsidSect="003931AC">
          <w:type w:val="continuous"/>
          <w:pgSz w:w="11906" w:h="16838"/>
          <w:pgMar w:top="1440" w:right="1440" w:bottom="1418" w:left="1440" w:header="708" w:footer="567" w:gutter="0"/>
          <w:cols w:space="708"/>
          <w:titlePg/>
          <w:docGrid w:linePitch="490"/>
        </w:sectPr>
      </w:pPr>
      <w:r>
        <w:lastRenderedPageBreak/>
        <w:t>Although the total number of members of Boards reduced, there was an encouraging increase in the number of Board members from amongst protected characteristic groups, again specifically in relation to disabled people and those from a culturally and ethnically diverse background.  The tables below show 27% and 255 respectively and an increase in the number of people on Boards identifying as Gay, Lesbian or Bisexual</w:t>
      </w:r>
      <w:r w:rsidR="007F70BD">
        <w:t>.</w:t>
      </w:r>
    </w:p>
    <w:tbl>
      <w:tblPr>
        <w:tblW w:w="5375" w:type="pct"/>
        <w:tblInd w:w="-436" w:type="dxa"/>
        <w:tblCellMar>
          <w:left w:w="0" w:type="dxa"/>
          <w:right w:w="0" w:type="dxa"/>
        </w:tblCellMar>
        <w:tblLook w:val="0620" w:firstRow="1" w:lastRow="0" w:firstColumn="0" w:lastColumn="0" w:noHBand="1" w:noVBand="1"/>
      </w:tblPr>
      <w:tblGrid>
        <w:gridCol w:w="4679"/>
        <w:gridCol w:w="1733"/>
        <w:gridCol w:w="1700"/>
        <w:gridCol w:w="2661"/>
        <w:gridCol w:w="2269"/>
        <w:gridCol w:w="2269"/>
      </w:tblGrid>
      <w:tr w:rsidR="00917B6A" w:rsidRPr="00554F9F" w14:paraId="398EAD60" w14:textId="77777777" w:rsidTr="00E4121E">
        <w:trPr>
          <w:tblHeader/>
        </w:trPr>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14:paraId="2E98AA50" w14:textId="77777777" w:rsidR="000B72AE" w:rsidRPr="00554F9F" w:rsidRDefault="000B72AE" w:rsidP="00D645F8">
            <w:pPr>
              <w:ind w:left="136"/>
              <w:rPr>
                <w:rFonts w:ascii="Arial" w:hAnsi="Arial" w:cs="Arial"/>
                <w:b/>
                <w:bCs/>
                <w:szCs w:val="36"/>
                <w:lang w:eastAsia="en-GB"/>
              </w:rPr>
            </w:pPr>
            <w:r w:rsidRPr="00554F9F">
              <w:rPr>
                <w:b/>
                <w:bCs/>
                <w:lang w:eastAsia="en-GB"/>
              </w:rPr>
              <w:lastRenderedPageBreak/>
              <w:t> </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1CA8546" w14:textId="77777777" w:rsidR="000B72AE" w:rsidRPr="00554F9F" w:rsidRDefault="000B72AE" w:rsidP="00D645F8">
            <w:pPr>
              <w:ind w:left="136" w:hanging="136"/>
              <w:jc w:val="center"/>
              <w:rPr>
                <w:rFonts w:ascii="Arial" w:hAnsi="Arial" w:cs="Arial"/>
                <w:b/>
                <w:bCs/>
                <w:szCs w:val="36"/>
                <w:lang w:eastAsia="en-GB"/>
              </w:rPr>
            </w:pPr>
            <w:r w:rsidRPr="00554F9F">
              <w:rPr>
                <w:b/>
                <w:bCs/>
                <w:lang w:eastAsia="en-GB"/>
              </w:rPr>
              <w:t>2020/21</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1678979" w14:textId="77777777" w:rsidR="000B72AE" w:rsidRPr="00554F9F" w:rsidRDefault="000B72AE" w:rsidP="00D645F8">
            <w:pPr>
              <w:jc w:val="center"/>
              <w:rPr>
                <w:rFonts w:ascii="Arial" w:hAnsi="Arial" w:cs="Arial"/>
                <w:b/>
                <w:bCs/>
                <w:szCs w:val="36"/>
                <w:lang w:eastAsia="en-GB"/>
              </w:rPr>
            </w:pPr>
            <w:r w:rsidRPr="00554F9F">
              <w:rPr>
                <w:b/>
                <w:bCs/>
                <w:lang w:eastAsia="en-GB"/>
              </w:rPr>
              <w:t>2021/22</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C11C5E4" w14:textId="58912FA7" w:rsidR="000B72AE" w:rsidRPr="00554F9F" w:rsidRDefault="000B72AE" w:rsidP="00D645F8">
            <w:pPr>
              <w:jc w:val="center"/>
              <w:rPr>
                <w:rFonts w:ascii="Arial" w:hAnsi="Arial" w:cs="Arial"/>
                <w:b/>
                <w:bCs/>
                <w:szCs w:val="36"/>
                <w:lang w:eastAsia="en-GB"/>
              </w:rPr>
            </w:pPr>
            <w:r w:rsidRPr="00554F9F">
              <w:rPr>
                <w:b/>
                <w:bCs/>
                <w:lang w:eastAsia="en-GB"/>
              </w:rPr>
              <w:t>% Change (20/21-21/22)</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0E19AFE" w14:textId="77777777" w:rsidR="000B72AE" w:rsidRPr="00554F9F" w:rsidRDefault="000B72AE" w:rsidP="00D645F8">
            <w:pPr>
              <w:jc w:val="center"/>
              <w:rPr>
                <w:rFonts w:ascii="Arial" w:hAnsi="Arial" w:cs="Arial"/>
                <w:b/>
                <w:bCs/>
                <w:szCs w:val="36"/>
                <w:lang w:eastAsia="en-GB"/>
              </w:rPr>
            </w:pPr>
            <w:r w:rsidRPr="00554F9F">
              <w:rPr>
                <w:b/>
                <w:bCs/>
                <w:lang w:eastAsia="en-GB"/>
              </w:rPr>
              <w:t>% of overall employees 2020/21</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A03A99D" w14:textId="77777777" w:rsidR="000B72AE" w:rsidRPr="00554F9F" w:rsidRDefault="000B72AE" w:rsidP="00D645F8">
            <w:pPr>
              <w:jc w:val="center"/>
              <w:rPr>
                <w:rFonts w:ascii="Arial" w:hAnsi="Arial" w:cs="Arial"/>
                <w:b/>
                <w:bCs/>
                <w:szCs w:val="36"/>
                <w:lang w:eastAsia="en-GB"/>
              </w:rPr>
            </w:pPr>
            <w:r w:rsidRPr="00554F9F">
              <w:rPr>
                <w:b/>
                <w:bCs/>
                <w:lang w:eastAsia="en-GB"/>
              </w:rPr>
              <w:t>% of overall employees 2021/22</w:t>
            </w:r>
          </w:p>
        </w:tc>
      </w:tr>
      <w:tr w:rsidR="00917B6A" w:rsidRPr="007A61BD" w14:paraId="10B0A6EE" w14:textId="77777777" w:rsidTr="00E4121E">
        <w:trPr>
          <w:trHeight w:val="964"/>
        </w:trPr>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19DFE56" w14:textId="77777777" w:rsidR="000B72AE" w:rsidRPr="00C9439A" w:rsidRDefault="000B72AE" w:rsidP="00D645F8">
            <w:pPr>
              <w:ind w:left="136"/>
              <w:rPr>
                <w:rFonts w:ascii="Arial" w:hAnsi="Arial" w:cs="Arial"/>
                <w:lang w:eastAsia="en-GB"/>
              </w:rPr>
            </w:pPr>
            <w:r w:rsidRPr="00C9439A">
              <w:rPr>
                <w:lang w:eastAsia="en-GB"/>
              </w:rPr>
              <w:t xml:space="preserve">Total number of Employees </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5330781" w14:textId="77777777" w:rsidR="000B72AE" w:rsidRPr="00C9439A" w:rsidRDefault="000B72AE" w:rsidP="00D645F8">
            <w:pPr>
              <w:ind w:left="136" w:hanging="136"/>
              <w:jc w:val="center"/>
              <w:rPr>
                <w:rFonts w:ascii="Arial" w:hAnsi="Arial" w:cs="Arial"/>
                <w:lang w:eastAsia="en-GB"/>
              </w:rPr>
            </w:pPr>
            <w:r w:rsidRPr="00C9439A">
              <w:rPr>
                <w:lang w:eastAsia="en-GB"/>
              </w:rPr>
              <w:t>1743</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1B3A6AB" w14:textId="77777777" w:rsidR="000B72AE" w:rsidRPr="00C9439A" w:rsidRDefault="000B72AE" w:rsidP="00D645F8">
            <w:pPr>
              <w:jc w:val="center"/>
              <w:rPr>
                <w:rFonts w:ascii="Arial" w:hAnsi="Arial" w:cs="Arial"/>
                <w:lang w:eastAsia="en-GB"/>
              </w:rPr>
            </w:pPr>
            <w:r w:rsidRPr="00C9439A">
              <w:rPr>
                <w:lang w:eastAsia="en-GB"/>
              </w:rPr>
              <w:t>1934</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40DE0E9" w14:textId="77777777" w:rsidR="000B72AE" w:rsidRPr="00C9439A" w:rsidRDefault="000B72AE" w:rsidP="00D645F8">
            <w:pPr>
              <w:jc w:val="center"/>
              <w:rPr>
                <w:rFonts w:ascii="Arial" w:hAnsi="Arial" w:cs="Arial"/>
                <w:lang w:eastAsia="en-GB"/>
              </w:rPr>
            </w:pPr>
            <w:r w:rsidRPr="00C9439A">
              <w:rPr>
                <w:lang w:eastAsia="en-GB"/>
              </w:rPr>
              <w:t>11.0</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37A2EF9" w14:textId="77777777" w:rsidR="000B72AE" w:rsidRPr="00C9439A" w:rsidRDefault="000B72AE" w:rsidP="00D645F8">
            <w:pPr>
              <w:jc w:val="center"/>
              <w:rPr>
                <w:rFonts w:ascii="Arial" w:hAnsi="Arial" w:cs="Arial"/>
                <w:lang w:eastAsia="en-GB"/>
              </w:rPr>
            </w:pPr>
            <w:r w:rsidRPr="00C9439A">
              <w:rPr>
                <w:lang w:eastAsia="en-GB"/>
              </w:rPr>
              <w:t>-</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168E89D" w14:textId="77777777" w:rsidR="000B72AE" w:rsidRPr="00C9439A" w:rsidRDefault="000B72AE" w:rsidP="00D645F8">
            <w:pPr>
              <w:jc w:val="center"/>
              <w:rPr>
                <w:rFonts w:ascii="Arial" w:hAnsi="Arial" w:cs="Arial"/>
                <w:lang w:eastAsia="en-GB"/>
              </w:rPr>
            </w:pPr>
            <w:r w:rsidRPr="00C9439A">
              <w:rPr>
                <w:lang w:eastAsia="en-GB"/>
              </w:rPr>
              <w:t>-</w:t>
            </w:r>
          </w:p>
        </w:tc>
      </w:tr>
      <w:tr w:rsidR="00917B6A" w:rsidRPr="007A61BD" w14:paraId="6CF397C7" w14:textId="77777777" w:rsidTr="00E4121E">
        <w:trPr>
          <w:trHeight w:val="1191"/>
        </w:trPr>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400AE68" w14:textId="77777777" w:rsidR="000B72AE" w:rsidRPr="00C9439A" w:rsidRDefault="000B72AE" w:rsidP="00D645F8">
            <w:pPr>
              <w:ind w:left="136"/>
              <w:rPr>
                <w:rFonts w:ascii="Arial" w:hAnsi="Arial" w:cs="Arial"/>
                <w:lang w:eastAsia="en-GB"/>
              </w:rPr>
            </w:pPr>
            <w:r w:rsidRPr="00C9439A">
              <w:rPr>
                <w:lang w:eastAsia="en-GB"/>
              </w:rPr>
              <w:t xml:space="preserve">Total number of D/deaf or disabled employees </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92FC398" w14:textId="77777777" w:rsidR="000B72AE" w:rsidRPr="00C9439A" w:rsidRDefault="000B72AE" w:rsidP="00D645F8">
            <w:pPr>
              <w:ind w:left="136" w:hanging="136"/>
              <w:jc w:val="center"/>
              <w:rPr>
                <w:rFonts w:ascii="Arial" w:hAnsi="Arial" w:cs="Arial"/>
                <w:lang w:eastAsia="en-GB"/>
              </w:rPr>
            </w:pPr>
            <w:r w:rsidRPr="00C9439A">
              <w:rPr>
                <w:lang w:eastAsia="en-GB"/>
              </w:rPr>
              <w:t>86</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86F62B5" w14:textId="77777777" w:rsidR="000B72AE" w:rsidRPr="00C9439A" w:rsidRDefault="000B72AE" w:rsidP="00D645F8">
            <w:pPr>
              <w:jc w:val="center"/>
              <w:rPr>
                <w:rFonts w:ascii="Arial" w:hAnsi="Arial" w:cs="Arial"/>
                <w:lang w:eastAsia="en-GB"/>
              </w:rPr>
            </w:pPr>
            <w:r w:rsidRPr="00C9439A">
              <w:rPr>
                <w:lang w:eastAsia="en-GB"/>
              </w:rPr>
              <w:t>119</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42A6DFB" w14:textId="77777777" w:rsidR="000B72AE" w:rsidRPr="00C9439A" w:rsidRDefault="000B72AE" w:rsidP="00D645F8">
            <w:pPr>
              <w:jc w:val="center"/>
              <w:rPr>
                <w:rFonts w:ascii="Arial" w:hAnsi="Arial" w:cs="Arial"/>
                <w:lang w:eastAsia="en-GB"/>
              </w:rPr>
            </w:pPr>
            <w:r w:rsidRPr="00C9439A">
              <w:rPr>
                <w:lang w:eastAsia="en-GB"/>
              </w:rPr>
              <w:t>38.4</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ACA00D0" w14:textId="77777777" w:rsidR="000B72AE" w:rsidRPr="00C9439A" w:rsidRDefault="000B72AE" w:rsidP="00D645F8">
            <w:pPr>
              <w:jc w:val="center"/>
              <w:rPr>
                <w:rFonts w:ascii="Arial" w:hAnsi="Arial" w:cs="Arial"/>
                <w:lang w:eastAsia="en-GB"/>
              </w:rPr>
            </w:pPr>
            <w:r w:rsidRPr="00C9439A">
              <w:rPr>
                <w:lang w:eastAsia="en-GB"/>
              </w:rPr>
              <w:t>4.9</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28E021C" w14:textId="77777777" w:rsidR="000B72AE" w:rsidRPr="00C9439A" w:rsidRDefault="000B72AE" w:rsidP="00D645F8">
            <w:pPr>
              <w:jc w:val="center"/>
              <w:rPr>
                <w:rFonts w:ascii="Arial" w:hAnsi="Arial" w:cs="Arial"/>
                <w:lang w:eastAsia="en-GB"/>
              </w:rPr>
            </w:pPr>
            <w:r w:rsidRPr="00C9439A">
              <w:rPr>
                <w:lang w:eastAsia="en-GB"/>
              </w:rPr>
              <w:t>6.2</w:t>
            </w:r>
          </w:p>
        </w:tc>
      </w:tr>
      <w:tr w:rsidR="00917B6A" w:rsidRPr="007A61BD" w14:paraId="6028D601" w14:textId="77777777" w:rsidTr="00E4121E">
        <w:trPr>
          <w:trHeight w:val="2149"/>
        </w:trPr>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812A28E" w14:textId="77777777" w:rsidR="000B72AE" w:rsidRPr="00C9439A" w:rsidRDefault="000B72AE" w:rsidP="00D645F8">
            <w:pPr>
              <w:ind w:left="136"/>
              <w:rPr>
                <w:rFonts w:ascii="Arial" w:hAnsi="Arial" w:cs="Arial"/>
                <w:lang w:eastAsia="en-GB"/>
              </w:rPr>
            </w:pPr>
            <w:r w:rsidRPr="00C9439A">
              <w:rPr>
                <w:lang w:eastAsia="en-GB"/>
              </w:rPr>
              <w:t xml:space="preserve">Total number of Culturally and Ethnically Diverse employees </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DF305C3" w14:textId="77777777" w:rsidR="000B72AE" w:rsidRPr="00C9439A" w:rsidRDefault="000B72AE" w:rsidP="00D645F8">
            <w:pPr>
              <w:ind w:left="136" w:hanging="136"/>
              <w:jc w:val="center"/>
              <w:rPr>
                <w:rFonts w:ascii="Arial" w:hAnsi="Arial" w:cs="Arial"/>
                <w:lang w:eastAsia="en-GB"/>
              </w:rPr>
            </w:pPr>
            <w:r w:rsidRPr="00C9439A">
              <w:rPr>
                <w:lang w:eastAsia="en-GB"/>
              </w:rPr>
              <w:t>96</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F31046C" w14:textId="77777777" w:rsidR="000B72AE" w:rsidRPr="00C9439A" w:rsidRDefault="000B72AE" w:rsidP="00D645F8">
            <w:pPr>
              <w:jc w:val="center"/>
              <w:rPr>
                <w:rFonts w:ascii="Arial" w:hAnsi="Arial" w:cs="Arial"/>
                <w:lang w:eastAsia="en-GB"/>
              </w:rPr>
            </w:pPr>
            <w:r w:rsidRPr="00C9439A">
              <w:rPr>
                <w:lang w:eastAsia="en-GB"/>
              </w:rPr>
              <w:t>139</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2683835F" w14:textId="77777777" w:rsidR="000B72AE" w:rsidRPr="00C9439A" w:rsidRDefault="000B72AE" w:rsidP="00D645F8">
            <w:pPr>
              <w:jc w:val="center"/>
              <w:rPr>
                <w:rFonts w:ascii="Arial" w:hAnsi="Arial" w:cs="Arial"/>
                <w:lang w:eastAsia="en-GB"/>
              </w:rPr>
            </w:pPr>
            <w:r w:rsidRPr="00C9439A">
              <w:rPr>
                <w:lang w:eastAsia="en-GB"/>
              </w:rPr>
              <w:t>44.8</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E5388B7" w14:textId="77777777" w:rsidR="000B72AE" w:rsidRPr="00C9439A" w:rsidRDefault="000B72AE" w:rsidP="00D645F8">
            <w:pPr>
              <w:jc w:val="center"/>
              <w:rPr>
                <w:rFonts w:ascii="Arial" w:hAnsi="Arial" w:cs="Arial"/>
                <w:lang w:eastAsia="en-GB"/>
              </w:rPr>
            </w:pPr>
            <w:r w:rsidRPr="00C9439A">
              <w:rPr>
                <w:lang w:eastAsia="en-GB"/>
              </w:rPr>
              <w:t>5.5</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5B0869D" w14:textId="77777777" w:rsidR="000B72AE" w:rsidRPr="00C9439A" w:rsidRDefault="000B72AE" w:rsidP="00D645F8">
            <w:pPr>
              <w:jc w:val="center"/>
              <w:rPr>
                <w:rFonts w:ascii="Arial" w:hAnsi="Arial" w:cs="Arial"/>
                <w:lang w:eastAsia="en-GB"/>
              </w:rPr>
            </w:pPr>
            <w:r w:rsidRPr="00C9439A">
              <w:rPr>
                <w:lang w:eastAsia="en-GB"/>
              </w:rPr>
              <w:t>7.2</w:t>
            </w:r>
          </w:p>
        </w:tc>
      </w:tr>
      <w:tr w:rsidR="00917B6A" w:rsidRPr="007A61BD" w14:paraId="2D6BD526" w14:textId="77777777" w:rsidTr="00E4121E">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9A6BB35" w14:textId="77777777" w:rsidR="000B72AE" w:rsidRPr="00C9439A" w:rsidRDefault="000B72AE" w:rsidP="00D645F8">
            <w:pPr>
              <w:ind w:left="136"/>
              <w:rPr>
                <w:rFonts w:ascii="Arial" w:hAnsi="Arial" w:cs="Arial"/>
                <w:lang w:eastAsia="en-GB"/>
              </w:rPr>
            </w:pPr>
            <w:r w:rsidRPr="00C9439A">
              <w:rPr>
                <w:lang w:eastAsia="en-GB"/>
              </w:rPr>
              <w:t xml:space="preserve">Total Lesbian, </w:t>
            </w:r>
            <w:proofErr w:type="gramStart"/>
            <w:r w:rsidRPr="00C9439A">
              <w:rPr>
                <w:lang w:eastAsia="en-GB"/>
              </w:rPr>
              <w:t>Gay</w:t>
            </w:r>
            <w:proofErr w:type="gramEnd"/>
            <w:r w:rsidRPr="00C9439A">
              <w:rPr>
                <w:lang w:eastAsia="en-GB"/>
              </w:rPr>
              <w:t xml:space="preserve"> or Bisexual people</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2C68A7BD" w14:textId="77777777" w:rsidR="000B72AE" w:rsidRPr="00C9439A" w:rsidRDefault="000B72AE" w:rsidP="00D645F8">
            <w:pPr>
              <w:ind w:left="136" w:hanging="136"/>
              <w:jc w:val="center"/>
              <w:rPr>
                <w:rFonts w:ascii="Arial" w:hAnsi="Arial" w:cs="Arial"/>
                <w:lang w:eastAsia="en-GB"/>
              </w:rPr>
            </w:pPr>
            <w:r w:rsidRPr="00C9439A">
              <w:rPr>
                <w:lang w:eastAsia="en-GB"/>
              </w:rPr>
              <w:t>194</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5F7BC13" w14:textId="77777777" w:rsidR="000B72AE" w:rsidRPr="00C9439A" w:rsidRDefault="000B72AE" w:rsidP="00D645F8">
            <w:pPr>
              <w:jc w:val="center"/>
              <w:rPr>
                <w:rFonts w:ascii="Arial" w:hAnsi="Arial" w:cs="Arial"/>
                <w:lang w:eastAsia="en-GB"/>
              </w:rPr>
            </w:pPr>
            <w:r w:rsidRPr="00C9439A">
              <w:rPr>
                <w:lang w:eastAsia="en-GB"/>
              </w:rPr>
              <w:t>243</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BF70A81" w14:textId="77777777" w:rsidR="000B72AE" w:rsidRPr="00C9439A" w:rsidRDefault="000B72AE" w:rsidP="00D645F8">
            <w:pPr>
              <w:jc w:val="center"/>
              <w:rPr>
                <w:rFonts w:ascii="Arial" w:hAnsi="Arial" w:cs="Arial"/>
                <w:lang w:eastAsia="en-GB"/>
              </w:rPr>
            </w:pPr>
            <w:r w:rsidRPr="00C9439A">
              <w:rPr>
                <w:lang w:eastAsia="en-GB"/>
              </w:rPr>
              <w:t>25.3</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F5ADC64" w14:textId="77777777" w:rsidR="000B72AE" w:rsidRPr="00C9439A" w:rsidRDefault="000B72AE" w:rsidP="00D645F8">
            <w:pPr>
              <w:jc w:val="center"/>
              <w:rPr>
                <w:rFonts w:ascii="Arial" w:hAnsi="Arial" w:cs="Arial"/>
                <w:lang w:eastAsia="en-GB"/>
              </w:rPr>
            </w:pPr>
            <w:r w:rsidRPr="00C9439A">
              <w:rPr>
                <w:lang w:eastAsia="en-GB"/>
              </w:rPr>
              <w:t>11.1</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BC5C6E3" w14:textId="77777777" w:rsidR="000B72AE" w:rsidRPr="00C9439A" w:rsidRDefault="000B72AE" w:rsidP="00D645F8">
            <w:pPr>
              <w:jc w:val="center"/>
              <w:rPr>
                <w:rFonts w:ascii="Arial" w:hAnsi="Arial" w:cs="Arial"/>
                <w:lang w:eastAsia="en-GB"/>
              </w:rPr>
            </w:pPr>
            <w:r w:rsidRPr="00C9439A">
              <w:rPr>
                <w:lang w:eastAsia="en-GB"/>
              </w:rPr>
              <w:t>12.6</w:t>
            </w:r>
          </w:p>
        </w:tc>
      </w:tr>
      <w:tr w:rsidR="00917B6A" w:rsidRPr="007A61BD" w14:paraId="19802F08" w14:textId="77777777" w:rsidTr="00E4121E">
        <w:trPr>
          <w:trHeight w:val="1077"/>
        </w:trPr>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CDCCEC0" w14:textId="77777777" w:rsidR="000B72AE" w:rsidRPr="00C9439A" w:rsidRDefault="000B72AE" w:rsidP="00D645F8">
            <w:pPr>
              <w:ind w:left="136"/>
              <w:rPr>
                <w:rFonts w:ascii="Arial" w:hAnsi="Arial" w:cs="Arial"/>
                <w:lang w:eastAsia="en-GB"/>
              </w:rPr>
            </w:pPr>
            <w:r w:rsidRPr="00C9439A">
              <w:rPr>
                <w:lang w:eastAsia="en-GB"/>
              </w:rPr>
              <w:t>Total Older People</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DF45B36" w14:textId="77777777" w:rsidR="000B72AE" w:rsidRPr="00C9439A" w:rsidRDefault="000B72AE" w:rsidP="00D645F8">
            <w:pPr>
              <w:ind w:left="136" w:hanging="136"/>
              <w:jc w:val="center"/>
              <w:rPr>
                <w:rFonts w:ascii="Arial" w:hAnsi="Arial" w:cs="Arial"/>
                <w:lang w:eastAsia="en-GB"/>
              </w:rPr>
            </w:pPr>
            <w:r w:rsidRPr="00C9439A">
              <w:rPr>
                <w:lang w:eastAsia="en-GB"/>
              </w:rPr>
              <w:t>463</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25C210E" w14:textId="77777777" w:rsidR="000B72AE" w:rsidRPr="00C9439A" w:rsidRDefault="000B72AE" w:rsidP="00D645F8">
            <w:pPr>
              <w:jc w:val="center"/>
              <w:rPr>
                <w:rFonts w:ascii="Arial" w:hAnsi="Arial" w:cs="Arial"/>
                <w:lang w:eastAsia="en-GB"/>
              </w:rPr>
            </w:pPr>
            <w:r w:rsidRPr="00C9439A">
              <w:rPr>
                <w:lang w:eastAsia="en-GB"/>
              </w:rPr>
              <w:t>473</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236CC1EC" w14:textId="77777777" w:rsidR="000B72AE" w:rsidRPr="00C9439A" w:rsidRDefault="000B72AE" w:rsidP="00D645F8">
            <w:pPr>
              <w:jc w:val="center"/>
              <w:rPr>
                <w:rFonts w:ascii="Arial" w:hAnsi="Arial" w:cs="Arial"/>
                <w:lang w:eastAsia="en-GB"/>
              </w:rPr>
            </w:pPr>
            <w:r w:rsidRPr="00C9439A">
              <w:rPr>
                <w:lang w:eastAsia="en-GB"/>
              </w:rPr>
              <w:t>2.2</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E58382E" w14:textId="77777777" w:rsidR="000B72AE" w:rsidRPr="00C9439A" w:rsidRDefault="000B72AE" w:rsidP="00D645F8">
            <w:pPr>
              <w:jc w:val="center"/>
              <w:rPr>
                <w:rFonts w:ascii="Arial" w:hAnsi="Arial" w:cs="Arial"/>
                <w:lang w:eastAsia="en-GB"/>
              </w:rPr>
            </w:pPr>
            <w:r w:rsidRPr="00C9439A">
              <w:rPr>
                <w:lang w:eastAsia="en-GB"/>
              </w:rPr>
              <w:t>26.6</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9700518" w14:textId="77777777" w:rsidR="000B72AE" w:rsidRPr="00C9439A" w:rsidRDefault="000B72AE" w:rsidP="00D645F8">
            <w:pPr>
              <w:jc w:val="center"/>
              <w:rPr>
                <w:rFonts w:ascii="Arial" w:hAnsi="Arial" w:cs="Arial"/>
                <w:lang w:eastAsia="en-GB"/>
              </w:rPr>
            </w:pPr>
            <w:r w:rsidRPr="00C9439A">
              <w:rPr>
                <w:lang w:eastAsia="en-GB"/>
              </w:rPr>
              <w:t>24.5</w:t>
            </w:r>
          </w:p>
        </w:tc>
      </w:tr>
      <w:tr w:rsidR="00917B6A" w:rsidRPr="007A61BD" w14:paraId="5E07C434" w14:textId="77777777" w:rsidTr="00E4121E">
        <w:trPr>
          <w:trHeight w:val="1077"/>
        </w:trPr>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598FA0E" w14:textId="77777777" w:rsidR="000B72AE" w:rsidRPr="00C9439A" w:rsidRDefault="000B72AE" w:rsidP="00D645F8">
            <w:pPr>
              <w:ind w:left="136"/>
              <w:rPr>
                <w:rFonts w:ascii="Arial" w:hAnsi="Arial" w:cs="Arial"/>
                <w:lang w:eastAsia="en-GB"/>
              </w:rPr>
            </w:pPr>
            <w:r w:rsidRPr="00C9439A">
              <w:rPr>
                <w:lang w:eastAsia="en-GB"/>
              </w:rPr>
              <w:lastRenderedPageBreak/>
              <w:t>Total Young People</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8BDD51C" w14:textId="77777777" w:rsidR="000B72AE" w:rsidRPr="00C9439A" w:rsidRDefault="000B72AE" w:rsidP="00D645F8">
            <w:pPr>
              <w:ind w:left="136" w:hanging="136"/>
              <w:jc w:val="center"/>
              <w:rPr>
                <w:rFonts w:ascii="Arial" w:hAnsi="Arial" w:cs="Arial"/>
                <w:lang w:eastAsia="en-GB"/>
              </w:rPr>
            </w:pPr>
            <w:r w:rsidRPr="00C9439A">
              <w:rPr>
                <w:lang w:eastAsia="en-GB"/>
              </w:rPr>
              <w:t>189</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5A56DD5" w14:textId="77777777" w:rsidR="000B72AE" w:rsidRPr="00C9439A" w:rsidRDefault="000B72AE" w:rsidP="00D645F8">
            <w:pPr>
              <w:jc w:val="center"/>
              <w:rPr>
                <w:rFonts w:ascii="Arial" w:hAnsi="Arial" w:cs="Arial"/>
                <w:lang w:eastAsia="en-GB"/>
              </w:rPr>
            </w:pPr>
            <w:r w:rsidRPr="00C9439A">
              <w:rPr>
                <w:lang w:eastAsia="en-GB"/>
              </w:rPr>
              <w:t>317</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6737C58" w14:textId="77777777" w:rsidR="000B72AE" w:rsidRPr="00C9439A" w:rsidRDefault="000B72AE" w:rsidP="00D645F8">
            <w:pPr>
              <w:jc w:val="center"/>
              <w:rPr>
                <w:rFonts w:ascii="Arial" w:hAnsi="Arial" w:cs="Arial"/>
                <w:lang w:eastAsia="en-GB"/>
              </w:rPr>
            </w:pPr>
            <w:r w:rsidRPr="00C9439A">
              <w:rPr>
                <w:lang w:eastAsia="en-GB"/>
              </w:rPr>
              <w:t>67.7</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775E806" w14:textId="77777777" w:rsidR="000B72AE" w:rsidRPr="00C9439A" w:rsidRDefault="000B72AE" w:rsidP="00D645F8">
            <w:pPr>
              <w:jc w:val="center"/>
              <w:rPr>
                <w:rFonts w:ascii="Arial" w:hAnsi="Arial" w:cs="Arial"/>
                <w:lang w:eastAsia="en-GB"/>
              </w:rPr>
            </w:pPr>
            <w:r w:rsidRPr="00C9439A">
              <w:rPr>
                <w:lang w:eastAsia="en-GB"/>
              </w:rPr>
              <w:t>10.8</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15326E4" w14:textId="77777777" w:rsidR="000B72AE" w:rsidRPr="00C9439A" w:rsidRDefault="000B72AE" w:rsidP="00D645F8">
            <w:pPr>
              <w:jc w:val="center"/>
              <w:rPr>
                <w:rFonts w:ascii="Arial" w:hAnsi="Arial" w:cs="Arial"/>
                <w:lang w:eastAsia="en-GB"/>
              </w:rPr>
            </w:pPr>
            <w:r w:rsidRPr="00C9439A">
              <w:rPr>
                <w:lang w:eastAsia="en-GB"/>
              </w:rPr>
              <w:t>16.4</w:t>
            </w:r>
          </w:p>
        </w:tc>
      </w:tr>
      <w:tr w:rsidR="00917B6A" w:rsidRPr="007A61BD" w14:paraId="78D2B00D" w14:textId="77777777" w:rsidTr="00E4121E">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AFEF4C0" w14:textId="77777777" w:rsidR="000B72AE" w:rsidRPr="00C9439A" w:rsidRDefault="000B72AE" w:rsidP="00D645F8">
            <w:pPr>
              <w:ind w:left="136"/>
              <w:rPr>
                <w:rFonts w:ascii="Arial" w:hAnsi="Arial" w:cs="Arial"/>
                <w:lang w:eastAsia="en-GB"/>
              </w:rPr>
            </w:pPr>
            <w:r w:rsidRPr="00C9439A">
              <w:rPr>
                <w:lang w:eastAsia="en-GB"/>
              </w:rPr>
              <w:t>Total People with specific religious beliefs</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2005F3D" w14:textId="77777777" w:rsidR="000B72AE" w:rsidRPr="00C9439A" w:rsidRDefault="000B72AE" w:rsidP="00D645F8">
            <w:pPr>
              <w:ind w:left="136" w:hanging="136"/>
              <w:jc w:val="center"/>
              <w:rPr>
                <w:rFonts w:ascii="Arial" w:hAnsi="Arial" w:cs="Arial"/>
                <w:lang w:eastAsia="en-GB"/>
              </w:rPr>
            </w:pPr>
            <w:r w:rsidRPr="00C9439A">
              <w:rPr>
                <w:lang w:eastAsia="en-GB"/>
              </w:rPr>
              <w:t>220</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35279CE" w14:textId="77777777" w:rsidR="000B72AE" w:rsidRPr="00C9439A" w:rsidRDefault="000B72AE" w:rsidP="00D645F8">
            <w:pPr>
              <w:jc w:val="center"/>
              <w:rPr>
                <w:rFonts w:ascii="Arial" w:hAnsi="Arial" w:cs="Arial"/>
                <w:lang w:eastAsia="en-GB"/>
              </w:rPr>
            </w:pPr>
            <w:r w:rsidRPr="00C9439A">
              <w:rPr>
                <w:lang w:eastAsia="en-GB"/>
              </w:rPr>
              <w:t>248</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E17BB16" w14:textId="77777777" w:rsidR="000B72AE" w:rsidRPr="00C9439A" w:rsidRDefault="000B72AE" w:rsidP="00D645F8">
            <w:pPr>
              <w:jc w:val="center"/>
              <w:rPr>
                <w:rFonts w:ascii="Arial" w:hAnsi="Arial" w:cs="Arial"/>
                <w:lang w:eastAsia="en-GB"/>
              </w:rPr>
            </w:pPr>
            <w:r w:rsidRPr="00C9439A">
              <w:rPr>
                <w:lang w:eastAsia="en-GB"/>
              </w:rPr>
              <w:t>12.7</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2F712085" w14:textId="77777777" w:rsidR="000B72AE" w:rsidRPr="00C9439A" w:rsidRDefault="000B72AE" w:rsidP="00D645F8">
            <w:pPr>
              <w:jc w:val="center"/>
              <w:rPr>
                <w:rFonts w:ascii="Arial" w:hAnsi="Arial" w:cs="Arial"/>
                <w:lang w:eastAsia="en-GB"/>
              </w:rPr>
            </w:pPr>
            <w:r w:rsidRPr="00C9439A">
              <w:rPr>
                <w:lang w:eastAsia="en-GB"/>
              </w:rPr>
              <w:t>12.6</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21F96CE1" w14:textId="77777777" w:rsidR="000B72AE" w:rsidRPr="00C9439A" w:rsidRDefault="000B72AE" w:rsidP="00D645F8">
            <w:pPr>
              <w:jc w:val="center"/>
              <w:rPr>
                <w:rFonts w:ascii="Arial" w:hAnsi="Arial" w:cs="Arial"/>
                <w:lang w:eastAsia="en-GB"/>
              </w:rPr>
            </w:pPr>
            <w:r w:rsidRPr="00C9439A">
              <w:rPr>
                <w:lang w:eastAsia="en-GB"/>
              </w:rPr>
              <w:t>12.8</w:t>
            </w:r>
          </w:p>
        </w:tc>
      </w:tr>
      <w:tr w:rsidR="00917B6A" w:rsidRPr="007A61BD" w14:paraId="488B92D8" w14:textId="77777777" w:rsidTr="00E4121E">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45B8EB64" w14:textId="77777777" w:rsidR="000B72AE" w:rsidRPr="00C9439A" w:rsidRDefault="000B72AE" w:rsidP="00D645F8">
            <w:pPr>
              <w:ind w:left="136"/>
              <w:rPr>
                <w:rFonts w:ascii="Arial" w:hAnsi="Arial" w:cs="Arial"/>
                <w:lang w:eastAsia="en-GB"/>
              </w:rPr>
            </w:pPr>
            <w:r w:rsidRPr="00C9439A">
              <w:rPr>
                <w:lang w:eastAsia="en-GB"/>
              </w:rPr>
              <w:t>Total Women who are pregnant or on maternity leave</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22B4127" w14:textId="77777777" w:rsidR="000B72AE" w:rsidRPr="00C9439A" w:rsidRDefault="000B72AE" w:rsidP="00D645F8">
            <w:pPr>
              <w:ind w:left="136" w:hanging="136"/>
              <w:jc w:val="center"/>
              <w:rPr>
                <w:rFonts w:ascii="Arial" w:hAnsi="Arial" w:cs="Arial"/>
                <w:lang w:eastAsia="en-GB"/>
              </w:rPr>
            </w:pPr>
            <w:r w:rsidRPr="00C9439A">
              <w:rPr>
                <w:lang w:eastAsia="en-GB"/>
              </w:rPr>
              <w:t>39</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06F6F9A" w14:textId="77777777" w:rsidR="000B72AE" w:rsidRPr="00C9439A" w:rsidRDefault="000B72AE" w:rsidP="00D645F8">
            <w:pPr>
              <w:jc w:val="center"/>
              <w:rPr>
                <w:rFonts w:ascii="Arial" w:hAnsi="Arial" w:cs="Arial"/>
                <w:lang w:eastAsia="en-GB"/>
              </w:rPr>
            </w:pPr>
            <w:r w:rsidRPr="00C9439A">
              <w:rPr>
                <w:lang w:eastAsia="en-GB"/>
              </w:rPr>
              <w:t>39</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3E193924" w14:textId="77777777" w:rsidR="000B72AE" w:rsidRPr="00C9439A" w:rsidRDefault="000B72AE" w:rsidP="00D645F8">
            <w:pPr>
              <w:jc w:val="center"/>
              <w:rPr>
                <w:rFonts w:ascii="Arial" w:hAnsi="Arial" w:cs="Arial"/>
                <w:lang w:eastAsia="en-GB"/>
              </w:rPr>
            </w:pPr>
            <w:r w:rsidRPr="00C9439A">
              <w:rPr>
                <w:lang w:eastAsia="en-GB"/>
              </w:rPr>
              <w:t>0.0</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8B1FDE1" w14:textId="77777777" w:rsidR="000B72AE" w:rsidRPr="00C9439A" w:rsidRDefault="000B72AE" w:rsidP="00D645F8">
            <w:pPr>
              <w:jc w:val="center"/>
              <w:rPr>
                <w:rFonts w:ascii="Arial" w:hAnsi="Arial" w:cs="Arial"/>
                <w:lang w:eastAsia="en-GB"/>
              </w:rPr>
            </w:pPr>
            <w:r w:rsidRPr="00C9439A">
              <w:rPr>
                <w:lang w:eastAsia="en-GB"/>
              </w:rPr>
              <w:t>2.2</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F659ED9" w14:textId="77777777" w:rsidR="000B72AE" w:rsidRPr="00C9439A" w:rsidRDefault="000B72AE" w:rsidP="00D645F8">
            <w:pPr>
              <w:jc w:val="center"/>
              <w:rPr>
                <w:rFonts w:ascii="Arial" w:hAnsi="Arial" w:cs="Arial"/>
                <w:lang w:eastAsia="en-GB"/>
              </w:rPr>
            </w:pPr>
            <w:r w:rsidRPr="00C9439A">
              <w:rPr>
                <w:lang w:eastAsia="en-GB"/>
              </w:rPr>
              <w:t>2.0</w:t>
            </w:r>
          </w:p>
        </w:tc>
      </w:tr>
      <w:tr w:rsidR="00917B6A" w:rsidRPr="007A61BD" w14:paraId="556031A7" w14:textId="77777777" w:rsidTr="00E4121E">
        <w:trPr>
          <w:trHeight w:val="454"/>
        </w:trPr>
        <w:tc>
          <w:tcPr>
            <w:tcW w:w="1528"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2D8D4229" w14:textId="77777777" w:rsidR="000B72AE" w:rsidRPr="00C9439A" w:rsidRDefault="000B72AE" w:rsidP="00D645F8">
            <w:pPr>
              <w:ind w:left="136"/>
              <w:rPr>
                <w:rFonts w:ascii="Arial" w:hAnsi="Arial" w:cs="Arial"/>
                <w:lang w:eastAsia="en-GB"/>
              </w:rPr>
            </w:pPr>
            <w:r w:rsidRPr="00C9439A">
              <w:rPr>
                <w:lang w:eastAsia="en-GB"/>
              </w:rPr>
              <w:t>Total Transgender people</w:t>
            </w:r>
          </w:p>
        </w:tc>
        <w:tc>
          <w:tcPr>
            <w:tcW w:w="566"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1F2FE2A2" w14:textId="77777777" w:rsidR="000B72AE" w:rsidRPr="00C9439A" w:rsidRDefault="000B72AE" w:rsidP="00D645F8">
            <w:pPr>
              <w:ind w:left="136" w:hanging="136"/>
              <w:jc w:val="center"/>
              <w:rPr>
                <w:rFonts w:ascii="Arial" w:hAnsi="Arial" w:cs="Arial"/>
                <w:lang w:eastAsia="en-GB"/>
              </w:rPr>
            </w:pPr>
            <w:r w:rsidRPr="00C9439A">
              <w:rPr>
                <w:lang w:eastAsia="en-GB"/>
              </w:rPr>
              <w:t>*</w:t>
            </w:r>
          </w:p>
        </w:tc>
        <w:tc>
          <w:tcPr>
            <w:tcW w:w="555"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0B161C20" w14:textId="77777777" w:rsidR="000B72AE" w:rsidRPr="00C9439A" w:rsidRDefault="000B72AE" w:rsidP="00D645F8">
            <w:pPr>
              <w:jc w:val="center"/>
              <w:rPr>
                <w:rFonts w:ascii="Arial" w:hAnsi="Arial" w:cs="Arial"/>
                <w:lang w:eastAsia="en-GB"/>
              </w:rPr>
            </w:pPr>
            <w:r w:rsidRPr="00C9439A">
              <w:rPr>
                <w:lang w:eastAsia="en-GB"/>
              </w:rPr>
              <w:t>24</w:t>
            </w:r>
          </w:p>
        </w:tc>
        <w:tc>
          <w:tcPr>
            <w:tcW w:w="869"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6A419EBC" w14:textId="77777777" w:rsidR="000B72AE" w:rsidRPr="00C9439A" w:rsidRDefault="000B72AE" w:rsidP="00D645F8">
            <w:pPr>
              <w:jc w:val="center"/>
              <w:rPr>
                <w:rFonts w:ascii="Arial" w:hAnsi="Arial" w:cs="Arial"/>
                <w:lang w:eastAsia="en-GB"/>
              </w:rPr>
            </w:pPr>
            <w:r w:rsidRPr="00C9439A">
              <w:rPr>
                <w:lang w:eastAsia="en-GB"/>
              </w:rPr>
              <w:t>*</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72738B74" w14:textId="77777777" w:rsidR="000B72AE" w:rsidRPr="00C9439A" w:rsidRDefault="000B72AE" w:rsidP="00D645F8">
            <w:pPr>
              <w:jc w:val="center"/>
              <w:rPr>
                <w:rFonts w:ascii="Arial" w:hAnsi="Arial" w:cs="Arial"/>
                <w:lang w:eastAsia="en-GB"/>
              </w:rPr>
            </w:pPr>
            <w:r w:rsidRPr="00C9439A">
              <w:rPr>
                <w:lang w:eastAsia="en-GB"/>
              </w:rPr>
              <w:t>*</w:t>
            </w:r>
          </w:p>
        </w:tc>
        <w:tc>
          <w:tcPr>
            <w:tcW w:w="741" w:type="pct"/>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vAlign w:val="center"/>
            <w:hideMark/>
          </w:tcPr>
          <w:p w14:paraId="55B9D654" w14:textId="77777777" w:rsidR="000B72AE" w:rsidRPr="00C9439A" w:rsidRDefault="000B72AE" w:rsidP="00D645F8">
            <w:pPr>
              <w:jc w:val="center"/>
              <w:rPr>
                <w:rFonts w:ascii="Arial" w:hAnsi="Arial" w:cs="Arial"/>
                <w:lang w:eastAsia="en-GB"/>
              </w:rPr>
            </w:pPr>
            <w:r w:rsidRPr="00C9439A">
              <w:rPr>
                <w:lang w:eastAsia="en-GB"/>
              </w:rPr>
              <w:t>1.2</w:t>
            </w:r>
          </w:p>
        </w:tc>
      </w:tr>
    </w:tbl>
    <w:p w14:paraId="08D24278" w14:textId="77777777" w:rsidR="00D2405A" w:rsidRDefault="00D2405A" w:rsidP="009D44DC">
      <w:r>
        <w:br w:type="page"/>
      </w:r>
    </w:p>
    <w:tbl>
      <w:tblPr>
        <w:tblW w:w="15503" w:type="dxa"/>
        <w:tblInd w:w="-294" w:type="dxa"/>
        <w:tblCellMar>
          <w:left w:w="0" w:type="dxa"/>
          <w:right w:w="0" w:type="dxa"/>
        </w:tblCellMar>
        <w:tblLook w:val="04A0" w:firstRow="1" w:lastRow="0" w:firstColumn="1" w:lastColumn="0" w:noHBand="0" w:noVBand="1"/>
      </w:tblPr>
      <w:tblGrid>
        <w:gridCol w:w="5387"/>
        <w:gridCol w:w="1556"/>
        <w:gridCol w:w="1757"/>
        <w:gridCol w:w="1701"/>
        <w:gridCol w:w="2551"/>
        <w:gridCol w:w="2551"/>
      </w:tblGrid>
      <w:tr w:rsidR="00261F2A" w:rsidRPr="00D9260D" w14:paraId="1E1FB935" w14:textId="77777777" w:rsidTr="00460896">
        <w:trPr>
          <w:cantSplit/>
          <w:trHeight w:val="2522"/>
          <w:tblHeader/>
        </w:trPr>
        <w:tc>
          <w:tcPr>
            <w:tcW w:w="5387"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718F63D3" w14:textId="77777777" w:rsidR="00BB3704" w:rsidRPr="00D9260D" w:rsidRDefault="00BB3704" w:rsidP="00D9260D">
            <w:pPr>
              <w:ind w:left="122"/>
              <w:rPr>
                <w:rFonts w:ascii="Arial" w:hAnsi="Arial" w:cs="Arial"/>
                <w:b/>
                <w:bCs/>
                <w:szCs w:val="36"/>
                <w:lang w:eastAsia="en-GB"/>
              </w:rPr>
            </w:pPr>
            <w:r w:rsidRPr="00D9260D">
              <w:rPr>
                <w:b/>
                <w:bCs/>
                <w:lang w:eastAsia="en-GB"/>
              </w:rPr>
              <w:lastRenderedPageBreak/>
              <w:t> </w:t>
            </w:r>
          </w:p>
        </w:tc>
        <w:tc>
          <w:tcPr>
            <w:tcW w:w="1556"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24F5884B" w14:textId="77777777" w:rsidR="00BB3704" w:rsidRPr="00D9260D" w:rsidRDefault="00BB3704" w:rsidP="00D9260D">
            <w:pPr>
              <w:jc w:val="center"/>
              <w:rPr>
                <w:rFonts w:ascii="Arial" w:hAnsi="Arial" w:cs="Arial"/>
                <w:b/>
                <w:bCs/>
                <w:szCs w:val="36"/>
                <w:lang w:eastAsia="en-GB"/>
              </w:rPr>
            </w:pPr>
            <w:r w:rsidRPr="00D9260D">
              <w:rPr>
                <w:b/>
                <w:bCs/>
                <w:lang w:eastAsia="en-GB"/>
              </w:rPr>
              <w:t>2020/21</w:t>
            </w:r>
          </w:p>
        </w:tc>
        <w:tc>
          <w:tcPr>
            <w:tcW w:w="1757"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7A7A7BC9" w14:textId="77777777" w:rsidR="00BB3704" w:rsidRPr="00D9260D" w:rsidRDefault="00BB3704" w:rsidP="00D9260D">
            <w:pPr>
              <w:jc w:val="center"/>
              <w:rPr>
                <w:rFonts w:ascii="Arial" w:hAnsi="Arial" w:cs="Arial"/>
                <w:b/>
                <w:bCs/>
                <w:szCs w:val="36"/>
                <w:lang w:eastAsia="en-GB"/>
              </w:rPr>
            </w:pPr>
            <w:r w:rsidRPr="00D9260D">
              <w:rPr>
                <w:b/>
                <w:bCs/>
                <w:lang w:eastAsia="en-GB"/>
              </w:rPr>
              <w:t>2021/22</w:t>
            </w:r>
          </w:p>
        </w:tc>
        <w:tc>
          <w:tcPr>
            <w:tcW w:w="1701"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47EBC65B" w14:textId="77777777" w:rsidR="00BB3704" w:rsidRPr="00D9260D" w:rsidRDefault="00BB3704" w:rsidP="00D9260D">
            <w:pPr>
              <w:jc w:val="center"/>
              <w:rPr>
                <w:rFonts w:ascii="Arial" w:hAnsi="Arial" w:cs="Arial"/>
                <w:b/>
                <w:bCs/>
                <w:szCs w:val="36"/>
                <w:lang w:eastAsia="en-GB"/>
              </w:rPr>
            </w:pPr>
            <w:r w:rsidRPr="00D9260D">
              <w:rPr>
                <w:b/>
                <w:bCs/>
                <w:lang w:eastAsia="en-GB"/>
              </w:rPr>
              <w:t>% Change</w:t>
            </w:r>
          </w:p>
        </w:tc>
        <w:tc>
          <w:tcPr>
            <w:tcW w:w="2551"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3B25601C" w14:textId="77777777" w:rsidR="00BB3704" w:rsidRPr="00D9260D" w:rsidRDefault="00BB3704" w:rsidP="00D9260D">
            <w:pPr>
              <w:jc w:val="center"/>
              <w:rPr>
                <w:rFonts w:ascii="Arial" w:hAnsi="Arial" w:cs="Arial"/>
                <w:b/>
                <w:bCs/>
                <w:szCs w:val="36"/>
                <w:lang w:eastAsia="en-GB"/>
              </w:rPr>
            </w:pPr>
            <w:r w:rsidRPr="00D9260D">
              <w:rPr>
                <w:b/>
                <w:bCs/>
                <w:lang w:eastAsia="en-GB"/>
              </w:rPr>
              <w:t>% of overall Boards of Management 2020/21</w:t>
            </w:r>
          </w:p>
        </w:tc>
        <w:tc>
          <w:tcPr>
            <w:tcW w:w="2551" w:type="dxa"/>
            <w:tcBorders>
              <w:top w:val="single" w:sz="8" w:space="0" w:color="4F81BD"/>
              <w:left w:val="single" w:sz="8" w:space="0" w:color="4F81BD"/>
              <w:bottom w:val="single" w:sz="18" w:space="0" w:color="4F81BD"/>
              <w:right w:val="single" w:sz="8" w:space="0" w:color="4F81BD"/>
            </w:tcBorders>
            <w:shd w:val="clear" w:color="auto" w:fill="auto"/>
            <w:tcMar>
              <w:top w:w="10" w:type="dxa"/>
              <w:left w:w="10" w:type="dxa"/>
              <w:bottom w:w="0" w:type="dxa"/>
              <w:right w:w="10" w:type="dxa"/>
            </w:tcMar>
            <w:vAlign w:val="center"/>
            <w:hideMark/>
          </w:tcPr>
          <w:p w14:paraId="23E4DDDA" w14:textId="77777777" w:rsidR="00BB3704" w:rsidRPr="00D9260D" w:rsidRDefault="00BB3704" w:rsidP="00D9260D">
            <w:pPr>
              <w:jc w:val="center"/>
              <w:rPr>
                <w:rFonts w:ascii="Arial" w:hAnsi="Arial" w:cs="Arial"/>
                <w:b/>
                <w:bCs/>
                <w:szCs w:val="36"/>
                <w:lang w:eastAsia="en-GB"/>
              </w:rPr>
            </w:pPr>
            <w:r w:rsidRPr="00D9260D">
              <w:rPr>
                <w:b/>
                <w:bCs/>
                <w:lang w:eastAsia="en-GB"/>
              </w:rPr>
              <w:t>% of overall Boards of Management 2021/22</w:t>
            </w:r>
          </w:p>
        </w:tc>
      </w:tr>
      <w:tr w:rsidR="00296B20" w:rsidRPr="00261F2A" w14:paraId="03E45C49" w14:textId="77777777" w:rsidTr="00460896">
        <w:trPr>
          <w:trHeight w:val="279"/>
        </w:trPr>
        <w:tc>
          <w:tcPr>
            <w:tcW w:w="5387"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4210E4E5" w14:textId="77777777" w:rsidR="00BB3704" w:rsidRPr="00261F2A" w:rsidRDefault="00BB3704" w:rsidP="00D9260D">
            <w:pPr>
              <w:ind w:left="122"/>
              <w:rPr>
                <w:rFonts w:ascii="Arial" w:hAnsi="Arial" w:cs="Arial"/>
                <w:lang w:eastAsia="en-GB"/>
              </w:rPr>
            </w:pPr>
            <w:r w:rsidRPr="00261F2A">
              <w:rPr>
                <w:lang w:eastAsia="en-GB"/>
              </w:rPr>
              <w:t>Total number on Boards of Management</w:t>
            </w:r>
          </w:p>
        </w:tc>
        <w:tc>
          <w:tcPr>
            <w:tcW w:w="1556"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1D29F957" w14:textId="77777777" w:rsidR="00BB3704" w:rsidRPr="00261F2A" w:rsidRDefault="00BB3704" w:rsidP="00D9260D">
            <w:pPr>
              <w:jc w:val="center"/>
              <w:rPr>
                <w:rFonts w:ascii="Arial" w:hAnsi="Arial" w:cs="Arial"/>
                <w:lang w:eastAsia="en-GB"/>
              </w:rPr>
            </w:pPr>
            <w:r w:rsidRPr="00261F2A">
              <w:rPr>
                <w:lang w:eastAsia="en-GB"/>
              </w:rPr>
              <w:t>484</w:t>
            </w:r>
          </w:p>
        </w:tc>
        <w:tc>
          <w:tcPr>
            <w:tcW w:w="1757"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E4F3168" w14:textId="77777777" w:rsidR="00BB3704" w:rsidRPr="00261F2A" w:rsidRDefault="00BB3704" w:rsidP="00D9260D">
            <w:pPr>
              <w:jc w:val="center"/>
              <w:rPr>
                <w:rFonts w:ascii="Arial" w:hAnsi="Arial" w:cs="Arial"/>
                <w:lang w:eastAsia="en-GB"/>
              </w:rPr>
            </w:pPr>
            <w:r w:rsidRPr="00261F2A">
              <w:rPr>
                <w:lang w:eastAsia="en-GB"/>
              </w:rPr>
              <w:t>456</w:t>
            </w:r>
          </w:p>
        </w:tc>
        <w:tc>
          <w:tcPr>
            <w:tcW w:w="1701"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F274276" w14:textId="77777777" w:rsidR="00BB3704" w:rsidRPr="00261F2A" w:rsidRDefault="00BB3704" w:rsidP="00D9260D">
            <w:pPr>
              <w:jc w:val="center"/>
              <w:rPr>
                <w:rFonts w:ascii="Arial" w:hAnsi="Arial" w:cs="Arial"/>
                <w:lang w:eastAsia="en-GB"/>
              </w:rPr>
            </w:pPr>
            <w:r w:rsidRPr="00261F2A">
              <w:rPr>
                <w:lang w:eastAsia="en-GB"/>
              </w:rPr>
              <w:t>-5.8</w:t>
            </w:r>
          </w:p>
        </w:tc>
        <w:tc>
          <w:tcPr>
            <w:tcW w:w="2551"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502DA76C" w14:textId="77777777" w:rsidR="00BB3704" w:rsidRPr="00261F2A" w:rsidRDefault="00BB3704" w:rsidP="00D9260D">
            <w:pPr>
              <w:jc w:val="center"/>
              <w:rPr>
                <w:rFonts w:ascii="Arial" w:hAnsi="Arial" w:cs="Arial"/>
                <w:lang w:eastAsia="en-GB"/>
              </w:rPr>
            </w:pPr>
            <w:r w:rsidRPr="00261F2A">
              <w:rPr>
                <w:lang w:eastAsia="en-GB"/>
              </w:rPr>
              <w:t>-</w:t>
            </w:r>
          </w:p>
        </w:tc>
        <w:tc>
          <w:tcPr>
            <w:tcW w:w="2551" w:type="dxa"/>
            <w:tcBorders>
              <w:top w:val="single" w:sz="1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27CAC23" w14:textId="77777777" w:rsidR="00BB3704" w:rsidRPr="00261F2A" w:rsidRDefault="00BB3704" w:rsidP="00D9260D">
            <w:pPr>
              <w:jc w:val="center"/>
              <w:rPr>
                <w:rFonts w:ascii="Arial" w:hAnsi="Arial" w:cs="Arial"/>
                <w:lang w:eastAsia="en-GB"/>
              </w:rPr>
            </w:pPr>
            <w:r w:rsidRPr="00261F2A">
              <w:rPr>
                <w:lang w:eastAsia="en-GB"/>
              </w:rPr>
              <w:t>-</w:t>
            </w:r>
          </w:p>
        </w:tc>
      </w:tr>
      <w:tr w:rsidR="00261F2A" w:rsidRPr="00261F2A" w14:paraId="56CDA13D" w14:textId="77777777" w:rsidTr="00460896">
        <w:trPr>
          <w:trHeight w:val="270"/>
        </w:trPr>
        <w:tc>
          <w:tcPr>
            <w:tcW w:w="5387"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6FA76DCF" w14:textId="77777777" w:rsidR="00BB3704" w:rsidRPr="00261F2A" w:rsidRDefault="00BB3704" w:rsidP="00D9260D">
            <w:pPr>
              <w:ind w:left="122"/>
              <w:rPr>
                <w:rFonts w:ascii="Arial" w:hAnsi="Arial" w:cs="Arial"/>
                <w:lang w:eastAsia="en-GB"/>
              </w:rPr>
            </w:pPr>
            <w:r w:rsidRPr="00261F2A">
              <w:rPr>
                <w:lang w:eastAsia="en-GB"/>
              </w:rPr>
              <w:t>Total number of D/deaf or disabled People on Boards of Management</w:t>
            </w:r>
          </w:p>
        </w:tc>
        <w:tc>
          <w:tcPr>
            <w:tcW w:w="1556"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052CA201" w14:textId="77777777" w:rsidR="00BB3704" w:rsidRPr="00261F2A" w:rsidRDefault="00BB3704" w:rsidP="00D9260D">
            <w:pPr>
              <w:jc w:val="center"/>
              <w:rPr>
                <w:rFonts w:ascii="Arial" w:hAnsi="Arial" w:cs="Arial"/>
                <w:lang w:eastAsia="en-GB"/>
              </w:rPr>
            </w:pPr>
            <w:r w:rsidRPr="00261F2A">
              <w:rPr>
                <w:lang w:eastAsia="en-GB"/>
              </w:rPr>
              <w:t>29</w:t>
            </w:r>
          </w:p>
        </w:tc>
        <w:tc>
          <w:tcPr>
            <w:tcW w:w="1757"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1C4FA0F6" w14:textId="77777777" w:rsidR="00BB3704" w:rsidRPr="00261F2A" w:rsidRDefault="00BB3704" w:rsidP="00D9260D">
            <w:pPr>
              <w:jc w:val="center"/>
              <w:rPr>
                <w:rFonts w:ascii="Arial" w:hAnsi="Arial" w:cs="Arial"/>
                <w:lang w:eastAsia="en-GB"/>
              </w:rPr>
            </w:pPr>
            <w:r w:rsidRPr="00261F2A">
              <w:rPr>
                <w:lang w:eastAsia="en-GB"/>
              </w:rPr>
              <w:t>37</w:t>
            </w:r>
          </w:p>
        </w:tc>
        <w:tc>
          <w:tcPr>
            <w:tcW w:w="170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35DEB15E" w14:textId="77777777" w:rsidR="00BB3704" w:rsidRPr="00261F2A" w:rsidRDefault="00BB3704" w:rsidP="00D9260D">
            <w:pPr>
              <w:jc w:val="center"/>
              <w:rPr>
                <w:rFonts w:ascii="Arial" w:hAnsi="Arial" w:cs="Arial"/>
                <w:lang w:eastAsia="en-GB"/>
              </w:rPr>
            </w:pPr>
            <w:r w:rsidRPr="00261F2A">
              <w:rPr>
                <w:lang w:eastAsia="en-GB"/>
              </w:rPr>
              <w:t>27.6</w:t>
            </w:r>
          </w:p>
        </w:tc>
        <w:tc>
          <w:tcPr>
            <w:tcW w:w="255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3B473F3C" w14:textId="77777777" w:rsidR="00BB3704" w:rsidRPr="00261F2A" w:rsidRDefault="00BB3704" w:rsidP="00D9260D">
            <w:pPr>
              <w:jc w:val="center"/>
              <w:rPr>
                <w:rFonts w:ascii="Arial" w:hAnsi="Arial" w:cs="Arial"/>
                <w:lang w:eastAsia="en-GB"/>
              </w:rPr>
            </w:pPr>
            <w:r w:rsidRPr="00261F2A">
              <w:rPr>
                <w:lang w:eastAsia="en-GB"/>
              </w:rPr>
              <w:t>6</w:t>
            </w:r>
          </w:p>
        </w:tc>
        <w:tc>
          <w:tcPr>
            <w:tcW w:w="255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3751C3B4" w14:textId="77777777" w:rsidR="00BB3704" w:rsidRPr="00261F2A" w:rsidRDefault="00BB3704" w:rsidP="00D9260D">
            <w:pPr>
              <w:jc w:val="center"/>
              <w:rPr>
                <w:rFonts w:ascii="Arial" w:hAnsi="Arial" w:cs="Arial"/>
                <w:lang w:eastAsia="en-GB"/>
              </w:rPr>
            </w:pPr>
            <w:r w:rsidRPr="00261F2A">
              <w:rPr>
                <w:lang w:eastAsia="en-GB"/>
              </w:rPr>
              <w:t>8.1</w:t>
            </w:r>
          </w:p>
        </w:tc>
      </w:tr>
      <w:tr w:rsidR="00261F2A" w:rsidRPr="00261F2A" w14:paraId="517E4A7A" w14:textId="77777777" w:rsidTr="00460896">
        <w:trPr>
          <w:trHeight w:val="449"/>
        </w:trPr>
        <w:tc>
          <w:tcPr>
            <w:tcW w:w="5387"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29AF7AA0" w14:textId="77777777" w:rsidR="00BB3704" w:rsidRPr="00261F2A" w:rsidRDefault="00BB3704" w:rsidP="00D9260D">
            <w:pPr>
              <w:ind w:left="122"/>
              <w:rPr>
                <w:rFonts w:ascii="Arial" w:hAnsi="Arial" w:cs="Arial"/>
                <w:lang w:eastAsia="en-GB"/>
              </w:rPr>
            </w:pPr>
            <w:r w:rsidRPr="00261F2A">
              <w:rPr>
                <w:lang w:eastAsia="en-GB"/>
              </w:rPr>
              <w:t>Total number of Culturally and Ethnically Diverse People on Boards of Management</w:t>
            </w:r>
          </w:p>
        </w:tc>
        <w:tc>
          <w:tcPr>
            <w:tcW w:w="1556"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4C002151" w14:textId="77777777" w:rsidR="00BB3704" w:rsidRPr="00261F2A" w:rsidRDefault="00BB3704" w:rsidP="00D9260D">
            <w:pPr>
              <w:jc w:val="center"/>
              <w:rPr>
                <w:rFonts w:ascii="Arial" w:hAnsi="Arial" w:cs="Arial"/>
                <w:lang w:eastAsia="en-GB"/>
              </w:rPr>
            </w:pPr>
            <w:r w:rsidRPr="00261F2A">
              <w:rPr>
                <w:lang w:eastAsia="en-GB"/>
              </w:rPr>
              <w:t>52</w:t>
            </w:r>
          </w:p>
        </w:tc>
        <w:tc>
          <w:tcPr>
            <w:tcW w:w="1757"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C0B0E6C" w14:textId="77777777" w:rsidR="00BB3704" w:rsidRPr="00261F2A" w:rsidRDefault="00BB3704" w:rsidP="00D9260D">
            <w:pPr>
              <w:jc w:val="center"/>
              <w:rPr>
                <w:rFonts w:ascii="Arial" w:hAnsi="Arial" w:cs="Arial"/>
                <w:lang w:eastAsia="en-GB"/>
              </w:rPr>
            </w:pPr>
            <w:r w:rsidRPr="00261F2A">
              <w:rPr>
                <w:lang w:eastAsia="en-GB"/>
              </w:rPr>
              <w:t>65</w:t>
            </w:r>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F351197" w14:textId="77777777" w:rsidR="00BB3704" w:rsidRPr="00261F2A" w:rsidRDefault="00BB3704" w:rsidP="00D9260D">
            <w:pPr>
              <w:jc w:val="center"/>
              <w:rPr>
                <w:rFonts w:ascii="Arial" w:hAnsi="Arial" w:cs="Arial"/>
                <w:lang w:eastAsia="en-GB"/>
              </w:rPr>
            </w:pPr>
            <w:r w:rsidRPr="00261F2A">
              <w:rPr>
                <w:lang w:eastAsia="en-GB"/>
              </w:rPr>
              <w:t>25.0</w:t>
            </w:r>
          </w:p>
        </w:tc>
        <w:tc>
          <w:tcPr>
            <w:tcW w:w="255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1F084DB" w14:textId="77777777" w:rsidR="00BB3704" w:rsidRPr="00261F2A" w:rsidRDefault="00BB3704" w:rsidP="00D9260D">
            <w:pPr>
              <w:jc w:val="center"/>
              <w:rPr>
                <w:rFonts w:ascii="Arial" w:hAnsi="Arial" w:cs="Arial"/>
                <w:lang w:eastAsia="en-GB"/>
              </w:rPr>
            </w:pPr>
            <w:r w:rsidRPr="00261F2A">
              <w:rPr>
                <w:lang w:eastAsia="en-GB"/>
              </w:rPr>
              <w:t>10.7</w:t>
            </w:r>
          </w:p>
        </w:tc>
        <w:tc>
          <w:tcPr>
            <w:tcW w:w="255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325857A" w14:textId="77777777" w:rsidR="00BB3704" w:rsidRPr="00261F2A" w:rsidRDefault="00BB3704" w:rsidP="00D9260D">
            <w:pPr>
              <w:jc w:val="center"/>
              <w:rPr>
                <w:rFonts w:ascii="Arial" w:hAnsi="Arial" w:cs="Arial"/>
                <w:lang w:eastAsia="en-GB"/>
              </w:rPr>
            </w:pPr>
            <w:r w:rsidRPr="00261F2A">
              <w:rPr>
                <w:lang w:eastAsia="en-GB"/>
              </w:rPr>
              <w:t>14.3</w:t>
            </w:r>
          </w:p>
        </w:tc>
      </w:tr>
      <w:tr w:rsidR="00261F2A" w:rsidRPr="00261F2A" w14:paraId="37C94831" w14:textId="77777777" w:rsidTr="00460896">
        <w:trPr>
          <w:trHeight w:val="270"/>
        </w:trPr>
        <w:tc>
          <w:tcPr>
            <w:tcW w:w="5387"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74FBFAC9" w14:textId="77777777" w:rsidR="00BB3704" w:rsidRPr="00261F2A" w:rsidRDefault="00BB3704" w:rsidP="00D9260D">
            <w:pPr>
              <w:ind w:left="122"/>
              <w:rPr>
                <w:rFonts w:ascii="Arial" w:hAnsi="Arial" w:cs="Arial"/>
                <w:lang w:eastAsia="en-GB"/>
              </w:rPr>
            </w:pPr>
            <w:r w:rsidRPr="00261F2A">
              <w:rPr>
                <w:lang w:eastAsia="en-GB"/>
              </w:rPr>
              <w:lastRenderedPageBreak/>
              <w:t xml:space="preserve">Total Lesbian, </w:t>
            </w:r>
            <w:proofErr w:type="gramStart"/>
            <w:r w:rsidRPr="00261F2A">
              <w:rPr>
                <w:lang w:eastAsia="en-GB"/>
              </w:rPr>
              <w:t>Gay</w:t>
            </w:r>
            <w:proofErr w:type="gramEnd"/>
            <w:r w:rsidRPr="00261F2A">
              <w:rPr>
                <w:lang w:eastAsia="en-GB"/>
              </w:rPr>
              <w:t xml:space="preserve"> or Bisexual People on Boards of Management</w:t>
            </w:r>
          </w:p>
        </w:tc>
        <w:tc>
          <w:tcPr>
            <w:tcW w:w="1556"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01D0ECBB" w14:textId="77777777" w:rsidR="00BB3704" w:rsidRPr="00261F2A" w:rsidRDefault="00BB3704" w:rsidP="00D9260D">
            <w:pPr>
              <w:jc w:val="center"/>
              <w:rPr>
                <w:rFonts w:ascii="Arial" w:hAnsi="Arial" w:cs="Arial"/>
                <w:lang w:eastAsia="en-GB"/>
              </w:rPr>
            </w:pPr>
            <w:r w:rsidRPr="00261F2A">
              <w:rPr>
                <w:lang w:eastAsia="en-GB"/>
              </w:rPr>
              <w:t>57</w:t>
            </w:r>
          </w:p>
        </w:tc>
        <w:tc>
          <w:tcPr>
            <w:tcW w:w="1757"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47167137" w14:textId="77777777" w:rsidR="00BB3704" w:rsidRPr="00261F2A" w:rsidRDefault="00BB3704" w:rsidP="00D9260D">
            <w:pPr>
              <w:jc w:val="center"/>
              <w:rPr>
                <w:rFonts w:ascii="Arial" w:hAnsi="Arial" w:cs="Arial"/>
                <w:lang w:eastAsia="en-GB"/>
              </w:rPr>
            </w:pPr>
            <w:r w:rsidRPr="00261F2A">
              <w:rPr>
                <w:lang w:eastAsia="en-GB"/>
              </w:rPr>
              <w:t>69</w:t>
            </w:r>
          </w:p>
        </w:tc>
        <w:tc>
          <w:tcPr>
            <w:tcW w:w="170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43021610" w14:textId="77777777" w:rsidR="00BB3704" w:rsidRPr="00261F2A" w:rsidRDefault="00BB3704" w:rsidP="00D9260D">
            <w:pPr>
              <w:jc w:val="center"/>
              <w:rPr>
                <w:rFonts w:ascii="Arial" w:hAnsi="Arial" w:cs="Arial"/>
                <w:lang w:eastAsia="en-GB"/>
              </w:rPr>
            </w:pPr>
            <w:r w:rsidRPr="00261F2A">
              <w:rPr>
                <w:lang w:eastAsia="en-GB"/>
              </w:rPr>
              <w:t>21.1</w:t>
            </w:r>
          </w:p>
        </w:tc>
        <w:tc>
          <w:tcPr>
            <w:tcW w:w="255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42152E71" w14:textId="77777777" w:rsidR="00BB3704" w:rsidRPr="00261F2A" w:rsidRDefault="00BB3704" w:rsidP="00D9260D">
            <w:pPr>
              <w:jc w:val="center"/>
              <w:rPr>
                <w:rFonts w:ascii="Arial" w:hAnsi="Arial" w:cs="Arial"/>
                <w:lang w:eastAsia="en-GB"/>
              </w:rPr>
            </w:pPr>
            <w:r w:rsidRPr="00261F2A">
              <w:rPr>
                <w:lang w:eastAsia="en-GB"/>
              </w:rPr>
              <w:t>11.8</w:t>
            </w:r>
          </w:p>
        </w:tc>
        <w:tc>
          <w:tcPr>
            <w:tcW w:w="255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41A37B98" w14:textId="77777777" w:rsidR="00BB3704" w:rsidRPr="00261F2A" w:rsidRDefault="00BB3704" w:rsidP="00D9260D">
            <w:pPr>
              <w:jc w:val="center"/>
              <w:rPr>
                <w:rFonts w:ascii="Arial" w:hAnsi="Arial" w:cs="Arial"/>
                <w:lang w:eastAsia="en-GB"/>
              </w:rPr>
            </w:pPr>
            <w:r w:rsidRPr="00261F2A">
              <w:rPr>
                <w:lang w:eastAsia="en-GB"/>
              </w:rPr>
              <w:t>15.1</w:t>
            </w:r>
          </w:p>
        </w:tc>
      </w:tr>
      <w:tr w:rsidR="00261F2A" w:rsidRPr="00261F2A" w14:paraId="323A72B6" w14:textId="77777777" w:rsidTr="00460896">
        <w:trPr>
          <w:trHeight w:val="270"/>
        </w:trPr>
        <w:tc>
          <w:tcPr>
            <w:tcW w:w="5387"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FE34EB3" w14:textId="77777777" w:rsidR="00BB3704" w:rsidRPr="00261F2A" w:rsidRDefault="00BB3704" w:rsidP="00D9260D">
            <w:pPr>
              <w:ind w:left="122"/>
              <w:rPr>
                <w:rFonts w:ascii="Arial" w:hAnsi="Arial" w:cs="Arial"/>
                <w:lang w:eastAsia="en-GB"/>
              </w:rPr>
            </w:pPr>
            <w:r w:rsidRPr="00261F2A">
              <w:rPr>
                <w:lang w:eastAsia="en-GB"/>
              </w:rPr>
              <w:t>Total Older People on Boards of Management</w:t>
            </w:r>
          </w:p>
        </w:tc>
        <w:tc>
          <w:tcPr>
            <w:tcW w:w="1556"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E4F0D23" w14:textId="77777777" w:rsidR="00BB3704" w:rsidRPr="00261F2A" w:rsidRDefault="00BB3704" w:rsidP="00D9260D">
            <w:pPr>
              <w:jc w:val="center"/>
              <w:rPr>
                <w:rFonts w:ascii="Arial" w:hAnsi="Arial" w:cs="Arial"/>
                <w:lang w:eastAsia="en-GB"/>
              </w:rPr>
            </w:pPr>
            <w:r w:rsidRPr="00261F2A">
              <w:rPr>
                <w:lang w:eastAsia="en-GB"/>
              </w:rPr>
              <w:t>262</w:t>
            </w:r>
          </w:p>
        </w:tc>
        <w:tc>
          <w:tcPr>
            <w:tcW w:w="1757"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9B79E9B" w14:textId="77777777" w:rsidR="00BB3704" w:rsidRPr="00261F2A" w:rsidRDefault="00BB3704" w:rsidP="00D9260D">
            <w:pPr>
              <w:jc w:val="center"/>
              <w:rPr>
                <w:rFonts w:ascii="Arial" w:hAnsi="Arial" w:cs="Arial"/>
                <w:lang w:eastAsia="en-GB"/>
              </w:rPr>
            </w:pPr>
            <w:r w:rsidRPr="00261F2A">
              <w:rPr>
                <w:lang w:eastAsia="en-GB"/>
              </w:rPr>
              <w:t>244</w:t>
            </w:r>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44C5E33" w14:textId="77777777" w:rsidR="00BB3704" w:rsidRPr="00261F2A" w:rsidRDefault="00BB3704" w:rsidP="00D9260D">
            <w:pPr>
              <w:jc w:val="center"/>
              <w:rPr>
                <w:rFonts w:ascii="Arial" w:hAnsi="Arial" w:cs="Arial"/>
                <w:lang w:eastAsia="en-GB"/>
              </w:rPr>
            </w:pPr>
            <w:r w:rsidRPr="00261F2A">
              <w:rPr>
                <w:lang w:eastAsia="en-GB"/>
              </w:rPr>
              <w:t>-6.9</w:t>
            </w:r>
          </w:p>
        </w:tc>
        <w:tc>
          <w:tcPr>
            <w:tcW w:w="255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60C6A5B7" w14:textId="77777777" w:rsidR="00BB3704" w:rsidRPr="00261F2A" w:rsidRDefault="00BB3704" w:rsidP="00D9260D">
            <w:pPr>
              <w:jc w:val="center"/>
              <w:rPr>
                <w:rFonts w:ascii="Arial" w:hAnsi="Arial" w:cs="Arial"/>
                <w:lang w:eastAsia="en-GB"/>
              </w:rPr>
            </w:pPr>
            <w:r w:rsidRPr="00261F2A">
              <w:rPr>
                <w:lang w:eastAsia="en-GB"/>
              </w:rPr>
              <w:t>54.1</w:t>
            </w:r>
          </w:p>
        </w:tc>
        <w:tc>
          <w:tcPr>
            <w:tcW w:w="255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FD0397E" w14:textId="77777777" w:rsidR="00BB3704" w:rsidRPr="00261F2A" w:rsidRDefault="00BB3704" w:rsidP="00D9260D">
            <w:pPr>
              <w:jc w:val="center"/>
              <w:rPr>
                <w:rFonts w:ascii="Arial" w:hAnsi="Arial" w:cs="Arial"/>
                <w:lang w:eastAsia="en-GB"/>
              </w:rPr>
            </w:pPr>
            <w:r w:rsidRPr="00261F2A">
              <w:rPr>
                <w:lang w:eastAsia="en-GB"/>
              </w:rPr>
              <w:t>53.5</w:t>
            </w:r>
          </w:p>
        </w:tc>
      </w:tr>
      <w:tr w:rsidR="00261F2A" w:rsidRPr="00261F2A" w14:paraId="2E281F4D" w14:textId="77777777" w:rsidTr="00460896">
        <w:trPr>
          <w:trHeight w:val="449"/>
        </w:trPr>
        <w:tc>
          <w:tcPr>
            <w:tcW w:w="5387"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074F8517" w14:textId="77777777" w:rsidR="00BB3704" w:rsidRPr="00261F2A" w:rsidRDefault="00BB3704" w:rsidP="00D9260D">
            <w:pPr>
              <w:ind w:left="122"/>
              <w:rPr>
                <w:rFonts w:ascii="Arial" w:hAnsi="Arial" w:cs="Arial"/>
                <w:lang w:eastAsia="en-GB"/>
              </w:rPr>
            </w:pPr>
            <w:r w:rsidRPr="00261F2A">
              <w:rPr>
                <w:lang w:eastAsia="en-GB"/>
              </w:rPr>
              <w:t>Total number of People on Boards of Management with specific religious beliefs</w:t>
            </w:r>
          </w:p>
        </w:tc>
        <w:tc>
          <w:tcPr>
            <w:tcW w:w="1556"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10B17616" w14:textId="77777777" w:rsidR="00BB3704" w:rsidRPr="00261F2A" w:rsidRDefault="00BB3704" w:rsidP="00D9260D">
            <w:pPr>
              <w:jc w:val="center"/>
              <w:rPr>
                <w:rFonts w:ascii="Arial" w:hAnsi="Arial" w:cs="Arial"/>
                <w:lang w:eastAsia="en-GB"/>
              </w:rPr>
            </w:pPr>
            <w:r w:rsidRPr="00261F2A">
              <w:rPr>
                <w:lang w:eastAsia="en-GB"/>
              </w:rPr>
              <w:t>91</w:t>
            </w:r>
          </w:p>
        </w:tc>
        <w:tc>
          <w:tcPr>
            <w:tcW w:w="1757"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030BDC59" w14:textId="77777777" w:rsidR="00BB3704" w:rsidRPr="00261F2A" w:rsidRDefault="00BB3704" w:rsidP="00D9260D">
            <w:pPr>
              <w:jc w:val="center"/>
              <w:rPr>
                <w:rFonts w:ascii="Arial" w:hAnsi="Arial" w:cs="Arial"/>
                <w:lang w:eastAsia="en-GB"/>
              </w:rPr>
            </w:pPr>
            <w:r w:rsidRPr="00261F2A">
              <w:rPr>
                <w:lang w:eastAsia="en-GB"/>
              </w:rPr>
              <w:t>90</w:t>
            </w:r>
          </w:p>
        </w:tc>
        <w:tc>
          <w:tcPr>
            <w:tcW w:w="170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7910F834" w14:textId="77777777" w:rsidR="00BB3704" w:rsidRPr="00261F2A" w:rsidRDefault="00BB3704" w:rsidP="00D9260D">
            <w:pPr>
              <w:jc w:val="center"/>
              <w:rPr>
                <w:rFonts w:ascii="Arial" w:hAnsi="Arial" w:cs="Arial"/>
                <w:lang w:eastAsia="en-GB"/>
              </w:rPr>
            </w:pPr>
            <w:r w:rsidRPr="00261F2A">
              <w:rPr>
                <w:lang w:eastAsia="en-GB"/>
              </w:rPr>
              <w:t>-1.1</w:t>
            </w:r>
          </w:p>
        </w:tc>
        <w:tc>
          <w:tcPr>
            <w:tcW w:w="255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1B0ED3BD" w14:textId="77777777" w:rsidR="00BB3704" w:rsidRPr="00261F2A" w:rsidRDefault="00BB3704" w:rsidP="00D9260D">
            <w:pPr>
              <w:jc w:val="center"/>
              <w:rPr>
                <w:rFonts w:ascii="Arial" w:hAnsi="Arial" w:cs="Arial"/>
                <w:lang w:eastAsia="en-GB"/>
              </w:rPr>
            </w:pPr>
            <w:r w:rsidRPr="00261F2A">
              <w:rPr>
                <w:lang w:eastAsia="en-GB"/>
              </w:rPr>
              <w:t>18.8</w:t>
            </w:r>
          </w:p>
        </w:tc>
        <w:tc>
          <w:tcPr>
            <w:tcW w:w="255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22DDB2FB" w14:textId="77777777" w:rsidR="00BB3704" w:rsidRPr="00261F2A" w:rsidRDefault="00BB3704" w:rsidP="00D9260D">
            <w:pPr>
              <w:jc w:val="center"/>
              <w:rPr>
                <w:rFonts w:ascii="Arial" w:hAnsi="Arial" w:cs="Arial"/>
                <w:lang w:eastAsia="en-GB"/>
              </w:rPr>
            </w:pPr>
            <w:r w:rsidRPr="00261F2A">
              <w:rPr>
                <w:lang w:eastAsia="en-GB"/>
              </w:rPr>
              <w:t>19.7</w:t>
            </w:r>
          </w:p>
        </w:tc>
      </w:tr>
      <w:tr w:rsidR="00261F2A" w:rsidRPr="00261F2A" w14:paraId="400333AB" w14:textId="77777777" w:rsidTr="00460896">
        <w:trPr>
          <w:trHeight w:val="449"/>
        </w:trPr>
        <w:tc>
          <w:tcPr>
            <w:tcW w:w="5387"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544597D3" w14:textId="77777777" w:rsidR="00BB3704" w:rsidRPr="00261F2A" w:rsidRDefault="00BB3704" w:rsidP="00D9260D">
            <w:pPr>
              <w:ind w:left="122"/>
              <w:rPr>
                <w:rFonts w:ascii="Arial" w:hAnsi="Arial" w:cs="Arial"/>
                <w:lang w:eastAsia="en-GB"/>
              </w:rPr>
            </w:pPr>
            <w:r w:rsidRPr="00261F2A">
              <w:rPr>
                <w:lang w:eastAsia="en-GB"/>
              </w:rPr>
              <w:lastRenderedPageBreak/>
              <w:t>Total number on Boards of Management who are pregnant or on maternity leave</w:t>
            </w:r>
          </w:p>
        </w:tc>
        <w:tc>
          <w:tcPr>
            <w:tcW w:w="1556"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CDE651A" w14:textId="77777777" w:rsidR="00BB3704" w:rsidRPr="00261F2A" w:rsidRDefault="00BB3704" w:rsidP="00D9260D">
            <w:pPr>
              <w:jc w:val="center"/>
              <w:rPr>
                <w:rFonts w:ascii="Arial" w:hAnsi="Arial" w:cs="Arial"/>
                <w:lang w:eastAsia="en-GB"/>
              </w:rPr>
            </w:pPr>
            <w:r w:rsidRPr="00261F2A">
              <w:rPr>
                <w:lang w:eastAsia="en-GB"/>
              </w:rPr>
              <w:t>6</w:t>
            </w:r>
          </w:p>
        </w:tc>
        <w:tc>
          <w:tcPr>
            <w:tcW w:w="1757"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4AD95C0E" w14:textId="77777777" w:rsidR="00BB3704" w:rsidRPr="00261F2A" w:rsidRDefault="00BB3704" w:rsidP="00D9260D">
            <w:pPr>
              <w:jc w:val="center"/>
              <w:rPr>
                <w:rFonts w:ascii="Arial" w:hAnsi="Arial" w:cs="Arial"/>
                <w:lang w:eastAsia="en-GB"/>
              </w:rPr>
            </w:pPr>
            <w:r w:rsidRPr="00261F2A">
              <w:rPr>
                <w:lang w:eastAsia="en-GB"/>
              </w:rPr>
              <w:t>9</w:t>
            </w:r>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FAD551D" w14:textId="77777777" w:rsidR="00BB3704" w:rsidRPr="00261F2A" w:rsidRDefault="00BB3704" w:rsidP="00D9260D">
            <w:pPr>
              <w:jc w:val="center"/>
              <w:rPr>
                <w:rFonts w:ascii="Arial" w:hAnsi="Arial" w:cs="Arial"/>
                <w:lang w:eastAsia="en-GB"/>
              </w:rPr>
            </w:pPr>
            <w:r w:rsidRPr="00261F2A">
              <w:rPr>
                <w:lang w:eastAsia="en-GB"/>
              </w:rPr>
              <w:t>50.0</w:t>
            </w:r>
          </w:p>
        </w:tc>
        <w:tc>
          <w:tcPr>
            <w:tcW w:w="255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7A6ECB7" w14:textId="77777777" w:rsidR="00BB3704" w:rsidRPr="00261F2A" w:rsidRDefault="00BB3704" w:rsidP="00D9260D">
            <w:pPr>
              <w:jc w:val="center"/>
              <w:rPr>
                <w:rFonts w:ascii="Arial" w:hAnsi="Arial" w:cs="Arial"/>
                <w:lang w:eastAsia="en-GB"/>
              </w:rPr>
            </w:pPr>
            <w:r w:rsidRPr="00261F2A">
              <w:rPr>
                <w:lang w:eastAsia="en-GB"/>
              </w:rPr>
              <w:t>1.2</w:t>
            </w:r>
          </w:p>
        </w:tc>
        <w:tc>
          <w:tcPr>
            <w:tcW w:w="255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29D3DE48" w14:textId="77777777" w:rsidR="00BB3704" w:rsidRPr="00261F2A" w:rsidRDefault="00BB3704" w:rsidP="00D9260D">
            <w:pPr>
              <w:jc w:val="center"/>
              <w:rPr>
                <w:rFonts w:ascii="Arial" w:hAnsi="Arial" w:cs="Arial"/>
                <w:lang w:eastAsia="en-GB"/>
              </w:rPr>
            </w:pPr>
            <w:r w:rsidRPr="00261F2A">
              <w:rPr>
                <w:lang w:eastAsia="en-GB"/>
              </w:rPr>
              <w:t>2.0</w:t>
            </w:r>
          </w:p>
        </w:tc>
      </w:tr>
      <w:tr w:rsidR="00261F2A" w:rsidRPr="00261F2A" w14:paraId="144BA53E" w14:textId="77777777" w:rsidTr="00460896">
        <w:trPr>
          <w:trHeight w:val="270"/>
        </w:trPr>
        <w:tc>
          <w:tcPr>
            <w:tcW w:w="5387"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55E1F3D9" w14:textId="77777777" w:rsidR="00BB3704" w:rsidRPr="00261F2A" w:rsidRDefault="00BB3704" w:rsidP="00D9260D">
            <w:pPr>
              <w:ind w:left="122"/>
              <w:rPr>
                <w:rFonts w:ascii="Arial" w:hAnsi="Arial" w:cs="Arial"/>
                <w:lang w:eastAsia="en-GB"/>
              </w:rPr>
            </w:pPr>
            <w:r w:rsidRPr="00261F2A">
              <w:rPr>
                <w:lang w:eastAsia="en-GB"/>
              </w:rPr>
              <w:t>Total Transgender People on Boards of Management</w:t>
            </w:r>
          </w:p>
        </w:tc>
        <w:tc>
          <w:tcPr>
            <w:tcW w:w="1556"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5854A5AB" w14:textId="77777777" w:rsidR="00BB3704" w:rsidRPr="00261F2A" w:rsidRDefault="00BB3704" w:rsidP="00D9260D">
            <w:pPr>
              <w:jc w:val="center"/>
              <w:rPr>
                <w:rFonts w:ascii="Arial" w:hAnsi="Arial" w:cs="Arial"/>
                <w:lang w:eastAsia="en-GB"/>
              </w:rPr>
            </w:pPr>
            <w:r w:rsidRPr="00261F2A">
              <w:rPr>
                <w:lang w:eastAsia="en-GB"/>
              </w:rPr>
              <w:t>*</w:t>
            </w:r>
          </w:p>
        </w:tc>
        <w:tc>
          <w:tcPr>
            <w:tcW w:w="1757"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42648928" w14:textId="77777777" w:rsidR="00BB3704" w:rsidRPr="00261F2A" w:rsidRDefault="00BB3704" w:rsidP="00D9260D">
            <w:pPr>
              <w:jc w:val="center"/>
              <w:rPr>
                <w:rFonts w:ascii="Arial" w:hAnsi="Arial" w:cs="Arial"/>
                <w:lang w:eastAsia="en-GB"/>
              </w:rPr>
            </w:pPr>
            <w:r w:rsidRPr="00261F2A">
              <w:rPr>
                <w:lang w:eastAsia="en-GB"/>
              </w:rPr>
              <w:t>*</w:t>
            </w:r>
          </w:p>
        </w:tc>
        <w:tc>
          <w:tcPr>
            <w:tcW w:w="170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25EE9CEC" w14:textId="77777777" w:rsidR="00BB3704" w:rsidRPr="00261F2A" w:rsidRDefault="00BB3704" w:rsidP="00D9260D">
            <w:pPr>
              <w:jc w:val="center"/>
              <w:rPr>
                <w:rFonts w:ascii="Arial" w:hAnsi="Arial" w:cs="Arial"/>
                <w:lang w:eastAsia="en-GB"/>
              </w:rPr>
            </w:pPr>
            <w:r w:rsidRPr="00261F2A">
              <w:rPr>
                <w:lang w:eastAsia="en-GB"/>
              </w:rPr>
              <w:t>*</w:t>
            </w:r>
          </w:p>
        </w:tc>
        <w:tc>
          <w:tcPr>
            <w:tcW w:w="255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4E06D7F5" w14:textId="77777777" w:rsidR="00BB3704" w:rsidRPr="00261F2A" w:rsidRDefault="00BB3704" w:rsidP="00D9260D">
            <w:pPr>
              <w:jc w:val="center"/>
              <w:rPr>
                <w:rFonts w:ascii="Arial" w:hAnsi="Arial" w:cs="Arial"/>
                <w:lang w:eastAsia="en-GB"/>
              </w:rPr>
            </w:pPr>
            <w:r w:rsidRPr="00261F2A">
              <w:rPr>
                <w:lang w:eastAsia="en-GB"/>
              </w:rPr>
              <w:t>*</w:t>
            </w:r>
          </w:p>
        </w:tc>
        <w:tc>
          <w:tcPr>
            <w:tcW w:w="2551" w:type="dxa"/>
            <w:tcBorders>
              <w:top w:val="single" w:sz="8" w:space="0" w:color="4F81BD"/>
              <w:left w:val="single" w:sz="8" w:space="0" w:color="4F81BD"/>
              <w:bottom w:val="single" w:sz="8" w:space="0" w:color="4F81BD"/>
              <w:right w:val="single" w:sz="8" w:space="0" w:color="4F81BD"/>
            </w:tcBorders>
            <w:shd w:val="clear" w:color="auto" w:fill="E9EDF4"/>
            <w:tcMar>
              <w:top w:w="10" w:type="dxa"/>
              <w:left w:w="10" w:type="dxa"/>
              <w:bottom w:w="0" w:type="dxa"/>
              <w:right w:w="10" w:type="dxa"/>
            </w:tcMar>
            <w:vAlign w:val="center"/>
            <w:hideMark/>
          </w:tcPr>
          <w:p w14:paraId="7797C41E" w14:textId="77777777" w:rsidR="00BB3704" w:rsidRPr="00261F2A" w:rsidRDefault="00BB3704" w:rsidP="00D9260D">
            <w:pPr>
              <w:jc w:val="center"/>
              <w:rPr>
                <w:rFonts w:ascii="Arial" w:hAnsi="Arial" w:cs="Arial"/>
                <w:lang w:eastAsia="en-GB"/>
              </w:rPr>
            </w:pPr>
            <w:r w:rsidRPr="00261F2A">
              <w:rPr>
                <w:lang w:eastAsia="en-GB"/>
              </w:rPr>
              <w:t>*</w:t>
            </w:r>
          </w:p>
        </w:tc>
      </w:tr>
      <w:tr w:rsidR="00261F2A" w:rsidRPr="00261F2A" w14:paraId="4F406E13" w14:textId="77777777" w:rsidTr="00460896">
        <w:trPr>
          <w:trHeight w:val="270"/>
        </w:trPr>
        <w:tc>
          <w:tcPr>
            <w:tcW w:w="5387"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50EF631" w14:textId="77777777" w:rsidR="00BB3704" w:rsidRPr="00261F2A" w:rsidRDefault="00BB3704" w:rsidP="00D9260D">
            <w:pPr>
              <w:ind w:left="122"/>
              <w:rPr>
                <w:rFonts w:ascii="Arial" w:hAnsi="Arial" w:cs="Arial"/>
                <w:lang w:eastAsia="en-GB"/>
              </w:rPr>
            </w:pPr>
            <w:r w:rsidRPr="00261F2A">
              <w:rPr>
                <w:lang w:eastAsia="en-GB"/>
              </w:rPr>
              <w:t>Total Young People on Boards of Management</w:t>
            </w:r>
          </w:p>
        </w:tc>
        <w:tc>
          <w:tcPr>
            <w:tcW w:w="1556"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1A079842" w14:textId="77777777" w:rsidR="00BB3704" w:rsidRPr="00261F2A" w:rsidRDefault="00BB3704" w:rsidP="00D9260D">
            <w:pPr>
              <w:jc w:val="center"/>
              <w:rPr>
                <w:rFonts w:ascii="Arial" w:hAnsi="Arial" w:cs="Arial"/>
                <w:lang w:eastAsia="en-GB"/>
              </w:rPr>
            </w:pPr>
            <w:r w:rsidRPr="00261F2A">
              <w:rPr>
                <w:lang w:eastAsia="en-GB"/>
              </w:rPr>
              <w:t>13</w:t>
            </w:r>
          </w:p>
        </w:tc>
        <w:tc>
          <w:tcPr>
            <w:tcW w:w="1757"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3068E961" w14:textId="77777777" w:rsidR="00BB3704" w:rsidRPr="00261F2A" w:rsidRDefault="00BB3704" w:rsidP="00D9260D">
            <w:pPr>
              <w:jc w:val="center"/>
              <w:rPr>
                <w:rFonts w:ascii="Arial" w:hAnsi="Arial" w:cs="Arial"/>
                <w:lang w:eastAsia="en-GB"/>
              </w:rPr>
            </w:pPr>
            <w:r w:rsidRPr="00261F2A">
              <w:rPr>
                <w:lang w:eastAsia="en-GB"/>
              </w:rPr>
              <w:t>14</w:t>
            </w:r>
          </w:p>
        </w:tc>
        <w:tc>
          <w:tcPr>
            <w:tcW w:w="170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43CDFA11" w14:textId="77777777" w:rsidR="00BB3704" w:rsidRPr="00261F2A" w:rsidRDefault="00BB3704" w:rsidP="00D9260D">
            <w:pPr>
              <w:jc w:val="center"/>
              <w:rPr>
                <w:rFonts w:ascii="Arial" w:hAnsi="Arial" w:cs="Arial"/>
                <w:lang w:eastAsia="en-GB"/>
              </w:rPr>
            </w:pPr>
            <w:r w:rsidRPr="00261F2A">
              <w:rPr>
                <w:lang w:eastAsia="en-GB"/>
              </w:rPr>
              <w:t>7.7</w:t>
            </w:r>
          </w:p>
        </w:tc>
        <w:tc>
          <w:tcPr>
            <w:tcW w:w="255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4FFF311F" w14:textId="77777777" w:rsidR="00BB3704" w:rsidRPr="00261F2A" w:rsidRDefault="00BB3704" w:rsidP="00D9260D">
            <w:pPr>
              <w:jc w:val="center"/>
              <w:rPr>
                <w:rFonts w:ascii="Arial" w:hAnsi="Arial" w:cs="Arial"/>
                <w:lang w:eastAsia="en-GB"/>
              </w:rPr>
            </w:pPr>
            <w:r w:rsidRPr="00261F2A">
              <w:rPr>
                <w:lang w:eastAsia="en-GB"/>
              </w:rPr>
              <w:t>2.7</w:t>
            </w:r>
          </w:p>
        </w:tc>
        <w:tc>
          <w:tcPr>
            <w:tcW w:w="2551" w:type="dxa"/>
            <w:tcBorders>
              <w:top w:val="single" w:sz="8" w:space="0" w:color="4F81BD"/>
              <w:left w:val="single" w:sz="8" w:space="0" w:color="4F81BD"/>
              <w:bottom w:val="single" w:sz="8" w:space="0" w:color="4F81BD"/>
              <w:right w:val="single" w:sz="8" w:space="0" w:color="4F81BD"/>
            </w:tcBorders>
            <w:shd w:val="clear" w:color="auto" w:fill="auto"/>
            <w:tcMar>
              <w:top w:w="10" w:type="dxa"/>
              <w:left w:w="10" w:type="dxa"/>
              <w:bottom w:w="0" w:type="dxa"/>
              <w:right w:w="10" w:type="dxa"/>
            </w:tcMar>
            <w:vAlign w:val="center"/>
            <w:hideMark/>
          </w:tcPr>
          <w:p w14:paraId="0C0C4F07" w14:textId="77777777" w:rsidR="00BB3704" w:rsidRPr="00261F2A" w:rsidRDefault="00BB3704" w:rsidP="00D9260D">
            <w:pPr>
              <w:jc w:val="center"/>
              <w:rPr>
                <w:rFonts w:ascii="Arial" w:hAnsi="Arial" w:cs="Arial"/>
                <w:lang w:eastAsia="en-GB"/>
              </w:rPr>
            </w:pPr>
            <w:r w:rsidRPr="00261F2A">
              <w:rPr>
                <w:lang w:eastAsia="en-GB"/>
              </w:rPr>
              <w:t>3.1</w:t>
            </w:r>
          </w:p>
        </w:tc>
      </w:tr>
    </w:tbl>
    <w:p w14:paraId="0900BDB0" w14:textId="77777777" w:rsidR="007F70BD" w:rsidRDefault="007F70BD" w:rsidP="009D44DC">
      <w:pPr>
        <w:sectPr w:rsidR="007F70BD" w:rsidSect="00744FC7">
          <w:pgSz w:w="16838" w:h="11906" w:orient="landscape"/>
          <w:pgMar w:top="993" w:right="1440" w:bottom="284" w:left="1135" w:header="708" w:footer="283" w:gutter="0"/>
          <w:cols w:space="708"/>
          <w:docGrid w:linePitch="490"/>
        </w:sectPr>
      </w:pPr>
      <w:r>
        <w:br w:type="page"/>
      </w:r>
    </w:p>
    <w:p w14:paraId="4E0A9336" w14:textId="4559793F" w:rsidR="00E17919" w:rsidRDefault="00E17919" w:rsidP="009D44DC">
      <w:r>
        <w:lastRenderedPageBreak/>
        <w:t xml:space="preserve">The data from our lottery funded programmes in 2021-22 reflected a sector gradually beginning to emerge from Covid with arts projects and programmes once again being at the heart of the applications received. </w:t>
      </w:r>
    </w:p>
    <w:p w14:paraId="06BE5444" w14:textId="04D2B6C5" w:rsidR="002642C2" w:rsidRDefault="00E17919" w:rsidP="009D44DC">
      <w:r>
        <w:t>In 2021-22 we awarded a total of £14.6 million to 369 projects. Of these almost 30% were projects targeted at deaf and disabled and people from culturally and ethnically diverse backgrounds. The following table shows how projects in receipt of funding targeted their activity.</w:t>
      </w:r>
    </w:p>
    <w:p w14:paraId="38E764CA" w14:textId="77777777" w:rsidR="002642C2" w:rsidRDefault="002642C2" w:rsidP="009D44DC">
      <w:pPr>
        <w:sectPr w:rsidR="002642C2" w:rsidSect="007F70BD">
          <w:pgSz w:w="11906" w:h="16838"/>
          <w:pgMar w:top="1440" w:right="1440" w:bottom="1135" w:left="1440" w:header="708" w:footer="283" w:gutter="0"/>
          <w:cols w:space="708"/>
          <w:docGrid w:linePitch="490"/>
        </w:sectPr>
      </w:pPr>
      <w:r>
        <w:br w:type="page"/>
      </w:r>
    </w:p>
    <w:tbl>
      <w:tblPr>
        <w:tblW w:w="14287" w:type="dxa"/>
        <w:tblCellMar>
          <w:left w:w="0" w:type="dxa"/>
          <w:right w:w="0" w:type="dxa"/>
        </w:tblCellMar>
        <w:tblLook w:val="04A0" w:firstRow="1" w:lastRow="0" w:firstColumn="1" w:lastColumn="0" w:noHBand="0" w:noVBand="1"/>
      </w:tblPr>
      <w:tblGrid>
        <w:gridCol w:w="6369"/>
        <w:gridCol w:w="2151"/>
        <w:gridCol w:w="2232"/>
        <w:gridCol w:w="1701"/>
        <w:gridCol w:w="1834"/>
      </w:tblGrid>
      <w:tr w:rsidR="0077071C" w:rsidRPr="00135004" w14:paraId="13B05349" w14:textId="77777777" w:rsidTr="00135004">
        <w:trPr>
          <w:cantSplit/>
          <w:trHeight w:val="2092"/>
          <w:tblHeader/>
        </w:trPr>
        <w:tc>
          <w:tcPr>
            <w:tcW w:w="636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6AFD1F67" w14:textId="77777777" w:rsidR="0077071C" w:rsidRPr="00135004" w:rsidRDefault="0077071C" w:rsidP="009D44DC">
            <w:pPr>
              <w:rPr>
                <w:rFonts w:ascii="Arial" w:hAnsi="Arial" w:cs="Arial"/>
                <w:b/>
                <w:bCs/>
                <w:szCs w:val="36"/>
                <w:lang w:eastAsia="en-GB"/>
              </w:rPr>
            </w:pPr>
            <w:r w:rsidRPr="00135004">
              <w:rPr>
                <w:b/>
                <w:bCs/>
                <w:lang w:eastAsia="en-GB"/>
              </w:rPr>
              <w:lastRenderedPageBreak/>
              <w:t>Protected Characteristic Group</w:t>
            </w:r>
          </w:p>
        </w:tc>
        <w:tc>
          <w:tcPr>
            <w:tcW w:w="2151"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0BAAB1BA" w14:textId="77777777" w:rsidR="0077071C" w:rsidRPr="00135004" w:rsidRDefault="0077071C" w:rsidP="00135004">
            <w:pPr>
              <w:jc w:val="center"/>
              <w:rPr>
                <w:rFonts w:ascii="Arial" w:hAnsi="Arial" w:cs="Arial"/>
                <w:b/>
                <w:bCs/>
                <w:szCs w:val="36"/>
                <w:lang w:eastAsia="en-GB"/>
              </w:rPr>
            </w:pPr>
            <w:r w:rsidRPr="00135004">
              <w:rPr>
                <w:b/>
                <w:bCs/>
                <w:lang w:eastAsia="en-GB"/>
              </w:rPr>
              <w:t>Number of Awards</w:t>
            </w:r>
          </w:p>
        </w:tc>
        <w:tc>
          <w:tcPr>
            <w:tcW w:w="223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2E70D110" w14:textId="77777777" w:rsidR="0077071C" w:rsidRPr="00135004" w:rsidRDefault="0077071C" w:rsidP="00135004">
            <w:pPr>
              <w:jc w:val="center"/>
              <w:rPr>
                <w:rFonts w:ascii="Arial" w:hAnsi="Arial" w:cs="Arial"/>
                <w:b/>
                <w:bCs/>
                <w:szCs w:val="36"/>
                <w:lang w:eastAsia="en-GB"/>
              </w:rPr>
            </w:pPr>
            <w:r w:rsidRPr="00135004">
              <w:rPr>
                <w:b/>
                <w:bCs/>
                <w:lang w:eastAsia="en-GB"/>
              </w:rPr>
              <w:t>Total Value of Grant</w:t>
            </w:r>
          </w:p>
        </w:tc>
        <w:tc>
          <w:tcPr>
            <w:tcW w:w="1701"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391117E6" w14:textId="77777777" w:rsidR="0077071C" w:rsidRPr="00135004" w:rsidRDefault="0077071C" w:rsidP="00135004">
            <w:pPr>
              <w:jc w:val="center"/>
              <w:rPr>
                <w:rFonts w:ascii="Arial" w:hAnsi="Arial" w:cs="Arial"/>
                <w:b/>
                <w:bCs/>
                <w:szCs w:val="36"/>
                <w:lang w:eastAsia="en-GB"/>
              </w:rPr>
            </w:pPr>
            <w:r w:rsidRPr="00135004">
              <w:rPr>
                <w:b/>
                <w:bCs/>
                <w:lang w:eastAsia="en-GB"/>
              </w:rPr>
              <w:t>% of all awards</w:t>
            </w:r>
          </w:p>
        </w:tc>
        <w:tc>
          <w:tcPr>
            <w:tcW w:w="18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5FCE9829" w14:textId="77777777" w:rsidR="0077071C" w:rsidRPr="00135004" w:rsidRDefault="0077071C" w:rsidP="00135004">
            <w:pPr>
              <w:jc w:val="center"/>
              <w:rPr>
                <w:rFonts w:ascii="Arial" w:hAnsi="Arial" w:cs="Arial"/>
                <w:b/>
                <w:bCs/>
                <w:szCs w:val="36"/>
                <w:lang w:eastAsia="en-GB"/>
              </w:rPr>
            </w:pPr>
            <w:r w:rsidRPr="00135004">
              <w:rPr>
                <w:b/>
                <w:bCs/>
                <w:lang w:eastAsia="en-GB"/>
              </w:rPr>
              <w:t>% value of all awards</w:t>
            </w:r>
          </w:p>
        </w:tc>
      </w:tr>
      <w:tr w:rsidR="0077071C" w:rsidRPr="005E0FD1" w14:paraId="38A7BBDC" w14:textId="77777777" w:rsidTr="00FA36AA">
        <w:trPr>
          <w:cantSplit/>
          <w:trHeight w:val="760"/>
        </w:trPr>
        <w:tc>
          <w:tcPr>
            <w:tcW w:w="6369"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6E77CAB1" w14:textId="77777777" w:rsidR="0077071C" w:rsidRPr="005E0FD1" w:rsidRDefault="0077071C" w:rsidP="009D44DC">
            <w:pPr>
              <w:rPr>
                <w:rFonts w:ascii="Arial" w:hAnsi="Arial" w:cs="Arial"/>
                <w:szCs w:val="36"/>
                <w:lang w:eastAsia="en-GB"/>
              </w:rPr>
            </w:pPr>
            <w:r w:rsidRPr="005E0FD1">
              <w:rPr>
                <w:lang w:eastAsia="en-GB"/>
              </w:rPr>
              <w:t>Culturally and Ethnically Diverse People</w:t>
            </w:r>
          </w:p>
        </w:tc>
        <w:tc>
          <w:tcPr>
            <w:tcW w:w="2151"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04A7EAD4" w14:textId="77777777" w:rsidR="0077071C" w:rsidRPr="005E0FD1" w:rsidRDefault="0077071C" w:rsidP="00135004">
            <w:pPr>
              <w:jc w:val="center"/>
              <w:rPr>
                <w:rFonts w:ascii="Arial" w:hAnsi="Arial" w:cs="Arial"/>
                <w:szCs w:val="36"/>
                <w:lang w:eastAsia="en-GB"/>
              </w:rPr>
            </w:pPr>
            <w:r w:rsidRPr="005E0FD1">
              <w:rPr>
                <w:lang w:eastAsia="en-GB"/>
              </w:rPr>
              <w:t>107</w:t>
            </w:r>
          </w:p>
        </w:tc>
        <w:tc>
          <w:tcPr>
            <w:tcW w:w="223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38E88AAD" w14:textId="77777777" w:rsidR="0077071C" w:rsidRPr="005E0FD1" w:rsidRDefault="0077071C" w:rsidP="00135004">
            <w:pPr>
              <w:jc w:val="center"/>
              <w:rPr>
                <w:rFonts w:ascii="Arial" w:hAnsi="Arial" w:cs="Arial"/>
                <w:szCs w:val="36"/>
                <w:lang w:eastAsia="en-GB"/>
              </w:rPr>
            </w:pPr>
            <w:r w:rsidRPr="005E0FD1">
              <w:rPr>
                <w:lang w:eastAsia="en-GB"/>
              </w:rPr>
              <w:t>£4,419,239</w:t>
            </w:r>
          </w:p>
        </w:tc>
        <w:tc>
          <w:tcPr>
            <w:tcW w:w="1701"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4C1CE983" w14:textId="77777777" w:rsidR="0077071C" w:rsidRPr="005E0FD1" w:rsidRDefault="0077071C" w:rsidP="00135004">
            <w:pPr>
              <w:jc w:val="center"/>
              <w:rPr>
                <w:rFonts w:ascii="Arial" w:hAnsi="Arial" w:cs="Arial"/>
                <w:szCs w:val="36"/>
                <w:lang w:eastAsia="en-GB"/>
              </w:rPr>
            </w:pPr>
            <w:r w:rsidRPr="005E0FD1">
              <w:rPr>
                <w:lang w:eastAsia="en-GB"/>
              </w:rPr>
              <w:t>28.9</w:t>
            </w:r>
          </w:p>
        </w:tc>
        <w:tc>
          <w:tcPr>
            <w:tcW w:w="1834"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0C371831" w14:textId="77777777" w:rsidR="0077071C" w:rsidRPr="005E0FD1" w:rsidRDefault="0077071C" w:rsidP="00135004">
            <w:pPr>
              <w:jc w:val="center"/>
              <w:rPr>
                <w:rFonts w:ascii="Arial" w:hAnsi="Arial" w:cs="Arial"/>
                <w:szCs w:val="36"/>
                <w:lang w:eastAsia="en-GB"/>
              </w:rPr>
            </w:pPr>
            <w:r w:rsidRPr="005E0FD1">
              <w:rPr>
                <w:lang w:eastAsia="en-GB"/>
              </w:rPr>
              <w:t>29.5</w:t>
            </w:r>
          </w:p>
        </w:tc>
      </w:tr>
      <w:tr w:rsidR="0077071C" w:rsidRPr="005E0FD1" w14:paraId="71BB91E1" w14:textId="77777777" w:rsidTr="00FA36AA">
        <w:trPr>
          <w:cantSplit/>
          <w:trHeight w:val="380"/>
        </w:trPr>
        <w:tc>
          <w:tcPr>
            <w:tcW w:w="636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15DEB945" w14:textId="77777777" w:rsidR="0077071C" w:rsidRPr="005E0FD1" w:rsidRDefault="0077071C" w:rsidP="009D44DC">
            <w:pPr>
              <w:rPr>
                <w:rFonts w:ascii="Arial" w:hAnsi="Arial" w:cs="Arial"/>
                <w:szCs w:val="36"/>
                <w:lang w:eastAsia="en-GB"/>
              </w:rPr>
            </w:pPr>
            <w:r w:rsidRPr="005E0FD1">
              <w:rPr>
                <w:lang w:eastAsia="en-GB"/>
              </w:rPr>
              <w:t>Children &amp; Young People</w:t>
            </w:r>
          </w:p>
        </w:tc>
        <w:tc>
          <w:tcPr>
            <w:tcW w:w="2151"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1C765772" w14:textId="77777777" w:rsidR="0077071C" w:rsidRPr="005E0FD1" w:rsidRDefault="0077071C" w:rsidP="00135004">
            <w:pPr>
              <w:jc w:val="center"/>
              <w:rPr>
                <w:rFonts w:ascii="Arial" w:hAnsi="Arial" w:cs="Arial"/>
                <w:szCs w:val="36"/>
                <w:lang w:eastAsia="en-GB"/>
              </w:rPr>
            </w:pPr>
            <w:r w:rsidRPr="005E0FD1">
              <w:rPr>
                <w:lang w:eastAsia="en-GB"/>
              </w:rPr>
              <w:t>95</w:t>
            </w:r>
          </w:p>
        </w:tc>
        <w:tc>
          <w:tcPr>
            <w:tcW w:w="223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03057FEB" w14:textId="77777777" w:rsidR="0077071C" w:rsidRPr="005E0FD1" w:rsidRDefault="0077071C" w:rsidP="00135004">
            <w:pPr>
              <w:jc w:val="center"/>
              <w:rPr>
                <w:rFonts w:ascii="Arial" w:hAnsi="Arial" w:cs="Arial"/>
                <w:szCs w:val="36"/>
                <w:lang w:eastAsia="en-GB"/>
              </w:rPr>
            </w:pPr>
            <w:r w:rsidRPr="005E0FD1">
              <w:rPr>
                <w:lang w:eastAsia="en-GB"/>
              </w:rPr>
              <w:t>£4,885,339</w:t>
            </w:r>
          </w:p>
        </w:tc>
        <w:tc>
          <w:tcPr>
            <w:tcW w:w="1701"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05090323" w14:textId="77777777" w:rsidR="0077071C" w:rsidRPr="005E0FD1" w:rsidRDefault="0077071C" w:rsidP="00135004">
            <w:pPr>
              <w:jc w:val="center"/>
              <w:rPr>
                <w:rFonts w:ascii="Arial" w:hAnsi="Arial" w:cs="Arial"/>
                <w:szCs w:val="36"/>
                <w:lang w:eastAsia="en-GB"/>
              </w:rPr>
            </w:pPr>
            <w:r w:rsidRPr="005E0FD1">
              <w:rPr>
                <w:lang w:eastAsia="en-GB"/>
              </w:rPr>
              <w:t>25.7</w:t>
            </w:r>
          </w:p>
        </w:tc>
        <w:tc>
          <w:tcPr>
            <w:tcW w:w="18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45CA0200" w14:textId="77777777" w:rsidR="0077071C" w:rsidRPr="005E0FD1" w:rsidRDefault="0077071C" w:rsidP="00135004">
            <w:pPr>
              <w:jc w:val="center"/>
              <w:rPr>
                <w:rFonts w:ascii="Arial" w:hAnsi="Arial" w:cs="Arial"/>
                <w:szCs w:val="36"/>
                <w:lang w:eastAsia="en-GB"/>
              </w:rPr>
            </w:pPr>
            <w:r w:rsidRPr="005E0FD1">
              <w:rPr>
                <w:lang w:eastAsia="en-GB"/>
              </w:rPr>
              <w:t>32.6</w:t>
            </w:r>
          </w:p>
        </w:tc>
      </w:tr>
      <w:tr w:rsidR="0077071C" w:rsidRPr="005E0FD1" w14:paraId="0751B31F" w14:textId="77777777" w:rsidTr="00FA36AA">
        <w:trPr>
          <w:cantSplit/>
          <w:trHeight w:val="380"/>
        </w:trPr>
        <w:tc>
          <w:tcPr>
            <w:tcW w:w="6369"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43D85821" w14:textId="77777777" w:rsidR="0077071C" w:rsidRPr="005E0FD1" w:rsidRDefault="0077071C" w:rsidP="009D44DC">
            <w:pPr>
              <w:rPr>
                <w:rFonts w:ascii="Arial" w:hAnsi="Arial" w:cs="Arial"/>
                <w:szCs w:val="36"/>
                <w:lang w:eastAsia="en-GB"/>
              </w:rPr>
            </w:pPr>
            <w:r w:rsidRPr="005E0FD1">
              <w:rPr>
                <w:lang w:eastAsia="en-GB"/>
              </w:rPr>
              <w:t>Older People</w:t>
            </w:r>
          </w:p>
        </w:tc>
        <w:tc>
          <w:tcPr>
            <w:tcW w:w="2151"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5DB9B956" w14:textId="77777777" w:rsidR="0077071C" w:rsidRPr="005E0FD1" w:rsidRDefault="0077071C" w:rsidP="00135004">
            <w:pPr>
              <w:jc w:val="center"/>
              <w:rPr>
                <w:rFonts w:ascii="Arial" w:hAnsi="Arial" w:cs="Arial"/>
                <w:szCs w:val="36"/>
                <w:lang w:eastAsia="en-GB"/>
              </w:rPr>
            </w:pPr>
            <w:r w:rsidRPr="005E0FD1">
              <w:rPr>
                <w:lang w:eastAsia="en-GB"/>
              </w:rPr>
              <w:t>45</w:t>
            </w:r>
          </w:p>
        </w:tc>
        <w:tc>
          <w:tcPr>
            <w:tcW w:w="223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3907FFCB" w14:textId="77777777" w:rsidR="0077071C" w:rsidRPr="005E0FD1" w:rsidRDefault="0077071C" w:rsidP="00135004">
            <w:pPr>
              <w:jc w:val="center"/>
              <w:rPr>
                <w:rFonts w:ascii="Arial" w:hAnsi="Arial" w:cs="Arial"/>
                <w:szCs w:val="36"/>
                <w:lang w:eastAsia="en-GB"/>
              </w:rPr>
            </w:pPr>
            <w:r w:rsidRPr="005E0FD1">
              <w:rPr>
                <w:lang w:eastAsia="en-GB"/>
              </w:rPr>
              <w:t>£1,569,309</w:t>
            </w:r>
          </w:p>
        </w:tc>
        <w:tc>
          <w:tcPr>
            <w:tcW w:w="1701"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02ECE9A3" w14:textId="77777777" w:rsidR="0077071C" w:rsidRPr="005E0FD1" w:rsidRDefault="0077071C" w:rsidP="00135004">
            <w:pPr>
              <w:jc w:val="center"/>
              <w:rPr>
                <w:rFonts w:ascii="Arial" w:hAnsi="Arial" w:cs="Arial"/>
                <w:szCs w:val="36"/>
                <w:lang w:eastAsia="en-GB"/>
              </w:rPr>
            </w:pPr>
            <w:r w:rsidRPr="005E0FD1">
              <w:rPr>
                <w:lang w:eastAsia="en-GB"/>
              </w:rPr>
              <w:t>12.2</w:t>
            </w:r>
          </w:p>
        </w:tc>
        <w:tc>
          <w:tcPr>
            <w:tcW w:w="1834"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55CBD25A" w14:textId="77777777" w:rsidR="0077071C" w:rsidRPr="005E0FD1" w:rsidRDefault="0077071C" w:rsidP="00135004">
            <w:pPr>
              <w:jc w:val="center"/>
              <w:rPr>
                <w:rFonts w:ascii="Arial" w:hAnsi="Arial" w:cs="Arial"/>
                <w:szCs w:val="36"/>
                <w:lang w:eastAsia="en-GB"/>
              </w:rPr>
            </w:pPr>
            <w:r w:rsidRPr="005E0FD1">
              <w:rPr>
                <w:lang w:eastAsia="en-GB"/>
              </w:rPr>
              <w:t>10.5</w:t>
            </w:r>
          </w:p>
        </w:tc>
      </w:tr>
      <w:tr w:rsidR="0077071C" w:rsidRPr="005E0FD1" w14:paraId="572A2806" w14:textId="77777777" w:rsidTr="00FA36AA">
        <w:trPr>
          <w:cantSplit/>
          <w:trHeight w:val="380"/>
        </w:trPr>
        <w:tc>
          <w:tcPr>
            <w:tcW w:w="636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6451705F" w14:textId="77777777" w:rsidR="0077071C" w:rsidRPr="005E0FD1" w:rsidRDefault="0077071C" w:rsidP="009D44DC">
            <w:pPr>
              <w:rPr>
                <w:rFonts w:ascii="Arial" w:hAnsi="Arial" w:cs="Arial"/>
                <w:szCs w:val="36"/>
                <w:lang w:eastAsia="en-GB"/>
              </w:rPr>
            </w:pPr>
            <w:r w:rsidRPr="005E0FD1">
              <w:rPr>
                <w:lang w:eastAsia="en-GB"/>
              </w:rPr>
              <w:t>D/deaf or Disabled People</w:t>
            </w:r>
          </w:p>
        </w:tc>
        <w:tc>
          <w:tcPr>
            <w:tcW w:w="2151"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2350CAA0" w14:textId="77777777" w:rsidR="0077071C" w:rsidRPr="005E0FD1" w:rsidRDefault="0077071C" w:rsidP="00135004">
            <w:pPr>
              <w:jc w:val="center"/>
              <w:rPr>
                <w:rFonts w:ascii="Arial" w:hAnsi="Arial" w:cs="Arial"/>
                <w:szCs w:val="36"/>
                <w:lang w:eastAsia="en-GB"/>
              </w:rPr>
            </w:pPr>
            <w:r w:rsidRPr="005E0FD1">
              <w:rPr>
                <w:lang w:eastAsia="en-GB"/>
              </w:rPr>
              <w:t>109</w:t>
            </w:r>
          </w:p>
        </w:tc>
        <w:tc>
          <w:tcPr>
            <w:tcW w:w="223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6D7A14FE" w14:textId="77777777" w:rsidR="0077071C" w:rsidRPr="005E0FD1" w:rsidRDefault="0077071C" w:rsidP="00135004">
            <w:pPr>
              <w:jc w:val="center"/>
              <w:rPr>
                <w:rFonts w:ascii="Arial" w:hAnsi="Arial" w:cs="Arial"/>
                <w:szCs w:val="36"/>
                <w:lang w:eastAsia="en-GB"/>
              </w:rPr>
            </w:pPr>
            <w:r w:rsidRPr="005E0FD1">
              <w:rPr>
                <w:lang w:eastAsia="en-GB"/>
              </w:rPr>
              <w:t>£4,577,096</w:t>
            </w:r>
          </w:p>
        </w:tc>
        <w:tc>
          <w:tcPr>
            <w:tcW w:w="1701"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7F844F4D" w14:textId="77777777" w:rsidR="0077071C" w:rsidRPr="005E0FD1" w:rsidRDefault="0077071C" w:rsidP="00135004">
            <w:pPr>
              <w:jc w:val="center"/>
              <w:rPr>
                <w:rFonts w:ascii="Arial" w:hAnsi="Arial" w:cs="Arial"/>
                <w:szCs w:val="36"/>
                <w:lang w:eastAsia="en-GB"/>
              </w:rPr>
            </w:pPr>
            <w:r w:rsidRPr="005E0FD1">
              <w:rPr>
                <w:lang w:eastAsia="en-GB"/>
              </w:rPr>
              <w:t>29.5</w:t>
            </w:r>
          </w:p>
        </w:tc>
        <w:tc>
          <w:tcPr>
            <w:tcW w:w="18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11E34712" w14:textId="77777777" w:rsidR="0077071C" w:rsidRPr="005E0FD1" w:rsidRDefault="0077071C" w:rsidP="00135004">
            <w:pPr>
              <w:jc w:val="center"/>
              <w:rPr>
                <w:rFonts w:ascii="Arial" w:hAnsi="Arial" w:cs="Arial"/>
                <w:szCs w:val="36"/>
                <w:lang w:eastAsia="en-GB"/>
              </w:rPr>
            </w:pPr>
            <w:r w:rsidRPr="005E0FD1">
              <w:rPr>
                <w:lang w:eastAsia="en-GB"/>
              </w:rPr>
              <w:t>30.5</w:t>
            </w:r>
          </w:p>
        </w:tc>
      </w:tr>
      <w:tr w:rsidR="0077071C" w:rsidRPr="005E0FD1" w14:paraId="6C1EFF19" w14:textId="77777777" w:rsidTr="00FA36AA">
        <w:trPr>
          <w:cantSplit/>
          <w:trHeight w:val="760"/>
        </w:trPr>
        <w:tc>
          <w:tcPr>
            <w:tcW w:w="6369"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074E47A6" w14:textId="77777777" w:rsidR="0077071C" w:rsidRPr="005E0FD1" w:rsidRDefault="0077071C" w:rsidP="009D44DC">
            <w:pPr>
              <w:rPr>
                <w:rFonts w:ascii="Arial" w:hAnsi="Arial" w:cs="Arial"/>
                <w:szCs w:val="36"/>
                <w:lang w:eastAsia="en-GB"/>
              </w:rPr>
            </w:pPr>
            <w:r w:rsidRPr="005E0FD1">
              <w:rPr>
                <w:lang w:eastAsia="en-GB"/>
              </w:rPr>
              <w:t>People who are pregnant or on Maternity Leave</w:t>
            </w:r>
          </w:p>
        </w:tc>
        <w:tc>
          <w:tcPr>
            <w:tcW w:w="2151"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611F5A22" w14:textId="77777777" w:rsidR="0077071C" w:rsidRPr="005E0FD1" w:rsidRDefault="0077071C" w:rsidP="00135004">
            <w:pPr>
              <w:jc w:val="center"/>
              <w:rPr>
                <w:rFonts w:ascii="Arial" w:hAnsi="Arial" w:cs="Arial"/>
                <w:szCs w:val="36"/>
                <w:lang w:eastAsia="en-GB"/>
              </w:rPr>
            </w:pPr>
            <w:r w:rsidRPr="005E0FD1">
              <w:rPr>
                <w:lang w:eastAsia="en-GB"/>
              </w:rPr>
              <w:t>12</w:t>
            </w:r>
          </w:p>
        </w:tc>
        <w:tc>
          <w:tcPr>
            <w:tcW w:w="2232"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0AD1B85A" w14:textId="77777777" w:rsidR="0077071C" w:rsidRPr="005E0FD1" w:rsidRDefault="0077071C" w:rsidP="00135004">
            <w:pPr>
              <w:jc w:val="center"/>
              <w:rPr>
                <w:rFonts w:ascii="Arial" w:hAnsi="Arial" w:cs="Arial"/>
                <w:szCs w:val="36"/>
                <w:lang w:eastAsia="en-GB"/>
              </w:rPr>
            </w:pPr>
            <w:r w:rsidRPr="005E0FD1">
              <w:rPr>
                <w:lang w:eastAsia="en-GB"/>
              </w:rPr>
              <w:t>£172,004</w:t>
            </w:r>
          </w:p>
        </w:tc>
        <w:tc>
          <w:tcPr>
            <w:tcW w:w="1701"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2A99FAB0" w14:textId="77777777" w:rsidR="0077071C" w:rsidRPr="005E0FD1" w:rsidRDefault="0077071C" w:rsidP="00135004">
            <w:pPr>
              <w:jc w:val="center"/>
              <w:rPr>
                <w:rFonts w:ascii="Arial" w:hAnsi="Arial" w:cs="Arial"/>
                <w:szCs w:val="36"/>
                <w:lang w:eastAsia="en-GB"/>
              </w:rPr>
            </w:pPr>
            <w:r w:rsidRPr="005E0FD1">
              <w:rPr>
                <w:lang w:eastAsia="en-GB"/>
              </w:rPr>
              <w:t>3.2</w:t>
            </w:r>
          </w:p>
        </w:tc>
        <w:tc>
          <w:tcPr>
            <w:tcW w:w="1834" w:type="dxa"/>
            <w:tcBorders>
              <w:top w:val="single" w:sz="8" w:space="0" w:color="4F81BD"/>
              <w:left w:val="single" w:sz="8" w:space="0" w:color="4F81BD"/>
              <w:bottom w:val="single" w:sz="8" w:space="0" w:color="4F81BD"/>
              <w:right w:val="single" w:sz="8" w:space="0" w:color="4F81BD"/>
            </w:tcBorders>
            <w:shd w:val="clear" w:color="auto" w:fill="D0D8E8"/>
            <w:tcMar>
              <w:top w:w="15" w:type="dxa"/>
              <w:left w:w="108" w:type="dxa"/>
              <w:bottom w:w="0" w:type="dxa"/>
              <w:right w:w="108" w:type="dxa"/>
            </w:tcMar>
            <w:vAlign w:val="center"/>
            <w:hideMark/>
          </w:tcPr>
          <w:p w14:paraId="7032E8EF" w14:textId="77777777" w:rsidR="0077071C" w:rsidRPr="005E0FD1" w:rsidRDefault="0077071C" w:rsidP="00135004">
            <w:pPr>
              <w:jc w:val="center"/>
              <w:rPr>
                <w:rFonts w:ascii="Arial" w:hAnsi="Arial" w:cs="Arial"/>
                <w:szCs w:val="36"/>
                <w:lang w:eastAsia="en-GB"/>
              </w:rPr>
            </w:pPr>
            <w:r w:rsidRPr="005E0FD1">
              <w:rPr>
                <w:lang w:eastAsia="en-GB"/>
              </w:rPr>
              <w:t>1.1</w:t>
            </w:r>
          </w:p>
        </w:tc>
      </w:tr>
      <w:tr w:rsidR="0077071C" w:rsidRPr="005E0FD1" w14:paraId="7A6348DA" w14:textId="77777777" w:rsidTr="00FA36AA">
        <w:trPr>
          <w:cantSplit/>
          <w:trHeight w:val="1140"/>
        </w:trPr>
        <w:tc>
          <w:tcPr>
            <w:tcW w:w="6369"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7C2D6008" w14:textId="77777777" w:rsidR="0077071C" w:rsidRPr="005E0FD1" w:rsidRDefault="0077071C" w:rsidP="009D44DC">
            <w:pPr>
              <w:rPr>
                <w:rFonts w:ascii="Arial" w:hAnsi="Arial" w:cs="Arial"/>
                <w:szCs w:val="36"/>
                <w:lang w:eastAsia="en-GB"/>
              </w:rPr>
            </w:pPr>
            <w:r w:rsidRPr="005E0FD1">
              <w:rPr>
                <w:lang w:eastAsia="en-GB"/>
              </w:rPr>
              <w:t>People who have undergone or are undergoing gender reassignment</w:t>
            </w:r>
          </w:p>
        </w:tc>
        <w:tc>
          <w:tcPr>
            <w:tcW w:w="2151"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73CA2025" w14:textId="77777777" w:rsidR="0077071C" w:rsidRPr="005E0FD1" w:rsidRDefault="0077071C" w:rsidP="00135004">
            <w:pPr>
              <w:jc w:val="center"/>
              <w:rPr>
                <w:rFonts w:ascii="Arial" w:hAnsi="Arial" w:cs="Arial"/>
                <w:szCs w:val="36"/>
                <w:lang w:eastAsia="en-GB"/>
              </w:rPr>
            </w:pPr>
            <w:r w:rsidRPr="005E0FD1">
              <w:rPr>
                <w:lang w:eastAsia="en-GB"/>
              </w:rPr>
              <w:t>12</w:t>
            </w:r>
          </w:p>
        </w:tc>
        <w:tc>
          <w:tcPr>
            <w:tcW w:w="2232"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2C40146B" w14:textId="77777777" w:rsidR="0077071C" w:rsidRPr="005E0FD1" w:rsidRDefault="0077071C" w:rsidP="00135004">
            <w:pPr>
              <w:jc w:val="center"/>
              <w:rPr>
                <w:rFonts w:ascii="Arial" w:hAnsi="Arial" w:cs="Arial"/>
                <w:szCs w:val="36"/>
                <w:lang w:eastAsia="en-GB"/>
              </w:rPr>
            </w:pPr>
            <w:r w:rsidRPr="005E0FD1">
              <w:rPr>
                <w:lang w:eastAsia="en-GB"/>
              </w:rPr>
              <w:t>£178,947</w:t>
            </w:r>
          </w:p>
        </w:tc>
        <w:tc>
          <w:tcPr>
            <w:tcW w:w="1701"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315C12C8" w14:textId="77777777" w:rsidR="0077071C" w:rsidRPr="005E0FD1" w:rsidRDefault="0077071C" w:rsidP="00135004">
            <w:pPr>
              <w:jc w:val="center"/>
              <w:rPr>
                <w:rFonts w:ascii="Arial" w:hAnsi="Arial" w:cs="Arial"/>
                <w:szCs w:val="36"/>
                <w:lang w:eastAsia="en-GB"/>
              </w:rPr>
            </w:pPr>
            <w:r w:rsidRPr="005E0FD1">
              <w:rPr>
                <w:lang w:eastAsia="en-GB"/>
              </w:rPr>
              <w:t>3.2</w:t>
            </w:r>
          </w:p>
        </w:tc>
        <w:tc>
          <w:tcPr>
            <w:tcW w:w="1834" w:type="dxa"/>
            <w:tcBorders>
              <w:top w:val="single" w:sz="8" w:space="0" w:color="4F81BD"/>
              <w:left w:val="single" w:sz="8" w:space="0" w:color="4F81BD"/>
              <w:bottom w:val="single" w:sz="8" w:space="0" w:color="4F81BD"/>
              <w:right w:val="single" w:sz="8" w:space="0" w:color="4F81BD"/>
            </w:tcBorders>
            <w:shd w:val="clear" w:color="auto" w:fill="E9EDF4"/>
            <w:tcMar>
              <w:top w:w="15" w:type="dxa"/>
              <w:left w:w="108" w:type="dxa"/>
              <w:bottom w:w="0" w:type="dxa"/>
              <w:right w:w="108" w:type="dxa"/>
            </w:tcMar>
            <w:vAlign w:val="center"/>
            <w:hideMark/>
          </w:tcPr>
          <w:p w14:paraId="34494831" w14:textId="77777777" w:rsidR="0077071C" w:rsidRPr="005E0FD1" w:rsidRDefault="0077071C" w:rsidP="00135004">
            <w:pPr>
              <w:jc w:val="center"/>
              <w:rPr>
                <w:rFonts w:ascii="Arial" w:hAnsi="Arial" w:cs="Arial"/>
                <w:szCs w:val="36"/>
                <w:lang w:eastAsia="en-GB"/>
              </w:rPr>
            </w:pPr>
            <w:r w:rsidRPr="005E0FD1">
              <w:rPr>
                <w:lang w:eastAsia="en-GB"/>
              </w:rPr>
              <w:t>1.2</w:t>
            </w:r>
          </w:p>
        </w:tc>
      </w:tr>
    </w:tbl>
    <w:p w14:paraId="7F5B04F9" w14:textId="6E1A4357" w:rsidR="0077071C" w:rsidRDefault="0077071C" w:rsidP="009D44DC">
      <w:pPr>
        <w:sectPr w:rsidR="0077071C" w:rsidSect="003629EE">
          <w:pgSz w:w="16838" w:h="11906" w:orient="landscape"/>
          <w:pgMar w:top="1134" w:right="1440" w:bottom="1440" w:left="1135" w:header="708" w:footer="283" w:gutter="0"/>
          <w:cols w:space="708"/>
          <w:docGrid w:linePitch="490"/>
        </w:sectPr>
      </w:pPr>
    </w:p>
    <w:p w14:paraId="5DBDD954" w14:textId="201261FE" w:rsidR="00E17919" w:rsidRDefault="00E17919" w:rsidP="009D44DC">
      <w:r>
        <w:lastRenderedPageBreak/>
        <w:t xml:space="preserve">We continue to ask individuals to complete equality monitoring forms when applying for grants and the information received in 2021-22 showed us that 49% of grants awarded went to individuals who identified as female and 37% to those who identified as male with a higher proportion than before of those preferring not to say. Interestingly, the grant amount awarded to those identifying as male was on average £3,000 higher than those awarded to those who identified as female. This is an issue for us to explore further. </w:t>
      </w:r>
    </w:p>
    <w:p w14:paraId="5747432E" w14:textId="77777777" w:rsidR="00E17919" w:rsidRDefault="00E17919" w:rsidP="009D44DC">
      <w:proofErr w:type="gramStart"/>
      <w:r>
        <w:t>The majority of</w:t>
      </w:r>
      <w:proofErr w:type="gramEnd"/>
      <w:r>
        <w:t xml:space="preserve"> grants awarded went to people aged between 26 and 49. With only 2 grants awarded to people under 25 and 7 to people aged over 60.</w:t>
      </w:r>
    </w:p>
    <w:p w14:paraId="63E9297B" w14:textId="77777777" w:rsidR="00E17919" w:rsidRDefault="00E17919" w:rsidP="009D44DC">
      <w:r>
        <w:t xml:space="preserve">When looking at the sexual orientation of those awarded grants, we saw a shift from previous years. More people identifying as being Lesbian, </w:t>
      </w:r>
      <w:proofErr w:type="gramStart"/>
      <w:r>
        <w:t>gay</w:t>
      </w:r>
      <w:proofErr w:type="gramEnd"/>
      <w:r>
        <w:t xml:space="preserve"> or bisexual were awarded grants in 2021-22, over a quarter of all individuals. In comparison to the previous year when two thirds of all grants were allocated to Straight/Heterosexual people.  In 2021-22 this went down to 50%.</w:t>
      </w:r>
    </w:p>
    <w:p w14:paraId="02E9317F" w14:textId="77777777" w:rsidR="00E17919" w:rsidRDefault="00E17919" w:rsidP="009D44DC">
      <w:r>
        <w:lastRenderedPageBreak/>
        <w:t xml:space="preserve">14% of all awards were made to Culturally and Ethnically Diverse people and a further 6% opted for the ‘prefer not to say’ option. This compared to 2020-21 when 88% of all awards to individuals were to people who identified as White. On average, awards made to Culturally and Ethnically diverse people were higher than awards made to those that identify as White. </w:t>
      </w:r>
    </w:p>
    <w:p w14:paraId="471C987F" w14:textId="77777777" w:rsidR="00E17919" w:rsidRDefault="00E17919" w:rsidP="009D44DC">
      <w:r>
        <w:t>A quarter of all grants awarded in 2021-22 went to D/deaf and disabled individuals. This was up from 10% on the previous year. On average each grant to D/deaf and disabled individuals was around £1,500 higher than those who did not identify as disabled.</w:t>
      </w:r>
    </w:p>
    <w:p w14:paraId="2F13254B" w14:textId="77777777" w:rsidR="00E17919" w:rsidRDefault="00E17919" w:rsidP="009D44DC">
      <w:r>
        <w:t>We also asked organisations applying for Lottery funding to complete an equality monitoring form in relation to the make up of their boards of management. Although our methodology has changed to allow us to receive more data, the picture had changed little when compared to previous years. 25 awards were made to organisations that are led by culturally and ethnically diverse people and similarly 27 awards were made to organisations that are led by D/deaf or disabled people.</w:t>
      </w:r>
    </w:p>
    <w:p w14:paraId="388271F3" w14:textId="77777777" w:rsidR="00E17919" w:rsidRDefault="00E17919" w:rsidP="009D44DC">
      <w:r>
        <w:lastRenderedPageBreak/>
        <w:t xml:space="preserve">However, there does seem to be a shift in the age profile of Boards of Management with </w:t>
      </w:r>
      <w:proofErr w:type="gramStart"/>
      <w:r>
        <w:t>less Older</w:t>
      </w:r>
      <w:proofErr w:type="gramEnd"/>
      <w:r>
        <w:t xml:space="preserve"> Person led Boards receiving grants.</w:t>
      </w:r>
    </w:p>
    <w:p w14:paraId="49C6BDF5" w14:textId="77777777" w:rsidR="006D1DF8" w:rsidRDefault="006D1DF8" w:rsidP="009D44DC">
      <w:r>
        <w:br w:type="page"/>
      </w:r>
    </w:p>
    <w:p w14:paraId="4BE11709" w14:textId="77777777" w:rsidR="00AA2E16" w:rsidRPr="00AA2E16" w:rsidRDefault="00AA2E16" w:rsidP="00AA2E16">
      <w:pPr>
        <w:pStyle w:val="Heading3"/>
      </w:pPr>
      <w:bookmarkStart w:id="10" w:name="_Toc139014851"/>
      <w:r w:rsidRPr="00AA2E16">
        <w:lastRenderedPageBreak/>
        <w:t>Case Study</w:t>
      </w:r>
      <w:bookmarkEnd w:id="10"/>
    </w:p>
    <w:p w14:paraId="1986261B" w14:textId="77777777" w:rsidR="00AA2E16" w:rsidRDefault="00AA2E16" w:rsidP="00AA2E16">
      <w:pPr>
        <w:pStyle w:val="Heading3"/>
      </w:pPr>
      <w:bookmarkStart w:id="11" w:name="_Toc139014852"/>
      <w:r w:rsidRPr="00AA2E16">
        <w:t>Jukebox Collective:</w:t>
      </w:r>
      <w:r>
        <w:t xml:space="preserve"> </w:t>
      </w:r>
      <w:r w:rsidRPr="00AA2E16">
        <w:t>Future Creatives</w:t>
      </w:r>
      <w:bookmarkEnd w:id="11"/>
      <w:r w:rsidRPr="00AA2E16">
        <w:t xml:space="preserve"> </w:t>
      </w:r>
    </w:p>
    <w:p w14:paraId="5060D516" w14:textId="0FB32B59" w:rsidR="0082134C" w:rsidRDefault="0082134C" w:rsidP="0082134C">
      <w:r>
        <w:t xml:space="preserve">Jukebox Collective and partners invited Welsh people from diverse backgrounds to joint imagination sessions investigating how Wales could better embrace them, their </w:t>
      </w:r>
      <w:proofErr w:type="gramStart"/>
      <w:r>
        <w:t>creativity</w:t>
      </w:r>
      <w:proofErr w:type="gramEnd"/>
      <w:r>
        <w:t xml:space="preserve"> and ambitions.</w:t>
      </w:r>
    </w:p>
    <w:p w14:paraId="74B241CE" w14:textId="0ED15431" w:rsidR="0082134C" w:rsidRDefault="0082134C" w:rsidP="0082134C">
      <w:r>
        <w:t>Creating spaces where participants felt at ease and understood, the project involved over 50 creatives who worked with facilitators and industry consultants who were representative and relatable to participants.</w:t>
      </w:r>
    </w:p>
    <w:p w14:paraId="717296FA" w14:textId="3789DD13" w:rsidR="0082134C" w:rsidRDefault="0082134C" w:rsidP="0082134C">
      <w:r>
        <w:t xml:space="preserve">These sessions resulted in a report outlining the challenges in accessing spaces, </w:t>
      </w:r>
      <w:proofErr w:type="gramStart"/>
      <w:r>
        <w:t>events</w:t>
      </w:r>
      <w:proofErr w:type="gramEnd"/>
      <w:r>
        <w:t xml:space="preserve"> and artist development. The report explores how Welsh creatives are challenging the status quo and shares their hopes, </w:t>
      </w:r>
      <w:proofErr w:type="gramStart"/>
      <w:r>
        <w:t>ideas</w:t>
      </w:r>
      <w:proofErr w:type="gramEnd"/>
      <w:r>
        <w:t xml:space="preserve"> and ambitions for the future.</w:t>
      </w:r>
    </w:p>
    <w:p w14:paraId="5ED9EDCC" w14:textId="7E7774DC" w:rsidR="00AA2E16" w:rsidRDefault="0082134C" w:rsidP="0082134C">
      <w:r>
        <w:t xml:space="preserve">Future Creatives sparked a massive shift among participants and for Jukebox Collective and led to a second larger Connect &amp; Flourish application. Future Creatives work collaboratively on the co-creation of Black-led experiences, </w:t>
      </w:r>
      <w:proofErr w:type="gramStart"/>
      <w:r>
        <w:t>events</w:t>
      </w:r>
      <w:proofErr w:type="gramEnd"/>
      <w:r>
        <w:t xml:space="preserve"> and sessions, receive </w:t>
      </w:r>
      <w:r>
        <w:lastRenderedPageBreak/>
        <w:t>support, mentoring and work as equal partners with Jukebox Collective.</w:t>
      </w:r>
    </w:p>
    <w:p w14:paraId="6ED90C9B" w14:textId="77777777" w:rsidR="00E2015B" w:rsidRPr="00E2015B" w:rsidRDefault="00E2015B" w:rsidP="007A13C1">
      <w:pPr>
        <w:spacing w:before="480"/>
        <w:rPr>
          <w:b/>
          <w:bCs/>
        </w:rPr>
      </w:pPr>
      <w:r w:rsidRPr="00E2015B">
        <w:rPr>
          <w:b/>
          <w:bCs/>
        </w:rPr>
        <w:t>Project outcomes</w:t>
      </w:r>
    </w:p>
    <w:p w14:paraId="28CEA3D6" w14:textId="701753DC" w:rsidR="00E2015B" w:rsidRDefault="00E2015B" w:rsidP="00E2015B">
      <w:pPr>
        <w:pStyle w:val="ListParagraph"/>
        <w:numPr>
          <w:ilvl w:val="0"/>
          <w:numId w:val="13"/>
        </w:numPr>
        <w:spacing w:line="360" w:lineRule="auto"/>
        <w:ind w:left="851" w:hanging="851"/>
      </w:pPr>
      <w:r>
        <w:t xml:space="preserve">Provided opportunity for over 50 creatives to come together in safe spaces that were supportive and built connection, knowledge, </w:t>
      </w:r>
      <w:proofErr w:type="gramStart"/>
      <w:r>
        <w:t>confidence</w:t>
      </w:r>
      <w:proofErr w:type="gramEnd"/>
      <w:r>
        <w:t xml:space="preserve"> and inspiration.</w:t>
      </w:r>
    </w:p>
    <w:p w14:paraId="57900678" w14:textId="739C5DCF" w:rsidR="00E2015B" w:rsidRDefault="00E2015B" w:rsidP="00E2015B">
      <w:pPr>
        <w:pStyle w:val="ListParagraph"/>
        <w:numPr>
          <w:ilvl w:val="0"/>
          <w:numId w:val="13"/>
        </w:numPr>
        <w:spacing w:line="360" w:lineRule="auto"/>
        <w:ind w:left="851" w:hanging="851"/>
      </w:pPr>
      <w:r>
        <w:t>Publication of Future Creatives report.</w:t>
      </w:r>
    </w:p>
    <w:p w14:paraId="5F7F5E20" w14:textId="1BA7FE35" w:rsidR="00E2015B" w:rsidRDefault="00E2015B" w:rsidP="00E2015B">
      <w:pPr>
        <w:pStyle w:val="ListParagraph"/>
        <w:numPr>
          <w:ilvl w:val="0"/>
          <w:numId w:val="13"/>
        </w:numPr>
        <w:spacing w:line="360" w:lineRule="auto"/>
        <w:ind w:left="851" w:hanging="851"/>
      </w:pPr>
      <w:r>
        <w:t>Increasing understanding of the barriers ethnically diverse Welsh creatives face and solutions for change.</w:t>
      </w:r>
    </w:p>
    <w:p w14:paraId="19C736CD" w14:textId="32F4519C" w:rsidR="00737CB2" w:rsidRDefault="00737CB2" w:rsidP="002A2A21">
      <w:pPr>
        <w:spacing w:before="480"/>
      </w:pPr>
      <w:r w:rsidRPr="00737CB2">
        <w:rPr>
          <w:b/>
          <w:bCs/>
        </w:rPr>
        <w:t>Collaborators and Partners</w:t>
      </w:r>
      <w:r>
        <w:t>: Watch Africa, SS</w:t>
      </w:r>
      <w:r w:rsidR="007A13C1">
        <w:t>A</w:t>
      </w:r>
      <w:r>
        <w:t xml:space="preserve">P, </w:t>
      </w:r>
      <w:proofErr w:type="spellStart"/>
      <w:r>
        <w:t>Futurimpose</w:t>
      </w:r>
      <w:proofErr w:type="spellEnd"/>
    </w:p>
    <w:p w14:paraId="0A8E1E68" w14:textId="77777777" w:rsidR="00737CB2" w:rsidRDefault="00737CB2" w:rsidP="00737CB2">
      <w:r w:rsidRPr="00737CB2">
        <w:rPr>
          <w:b/>
          <w:bCs/>
        </w:rPr>
        <w:t>Facilitators:</w:t>
      </w:r>
      <w:r>
        <w:t xml:space="preserve"> Bethan James, Liana Stewart, </w:t>
      </w:r>
      <w:proofErr w:type="spellStart"/>
      <w:r>
        <w:t>Karimah</w:t>
      </w:r>
      <w:proofErr w:type="spellEnd"/>
      <w:r>
        <w:t xml:space="preserve"> Hassan, </w:t>
      </w:r>
      <w:proofErr w:type="spellStart"/>
      <w:r>
        <w:t>Ibby</w:t>
      </w:r>
      <w:proofErr w:type="spellEnd"/>
      <w:r>
        <w:t xml:space="preserve"> </w:t>
      </w:r>
      <w:proofErr w:type="spellStart"/>
      <w:r>
        <w:t>Tarafdar</w:t>
      </w:r>
      <w:proofErr w:type="spellEnd"/>
      <w:r>
        <w:t>, Yusuf Ismail</w:t>
      </w:r>
    </w:p>
    <w:p w14:paraId="09313DA6" w14:textId="77777777" w:rsidR="00737CB2" w:rsidRDefault="00737CB2" w:rsidP="00737CB2">
      <w:r w:rsidRPr="00737CB2">
        <w:rPr>
          <w:b/>
          <w:bCs/>
        </w:rPr>
        <w:t>Location:</w:t>
      </w:r>
      <w:r>
        <w:t xml:space="preserve"> Cardiff, South Wales</w:t>
      </w:r>
    </w:p>
    <w:p w14:paraId="4116AFD1" w14:textId="77777777" w:rsidR="00737CB2" w:rsidRDefault="00737CB2" w:rsidP="00737CB2">
      <w:r w:rsidRPr="00737CB2">
        <w:rPr>
          <w:b/>
          <w:bCs/>
        </w:rPr>
        <w:t>Award:</w:t>
      </w:r>
      <w:r>
        <w:t xml:space="preserve"> £23,300</w:t>
      </w:r>
    </w:p>
    <w:p w14:paraId="5C8CAECF" w14:textId="1E63CCB4" w:rsidR="00E2015B" w:rsidRDefault="00737CB2" w:rsidP="00737CB2">
      <w:r w:rsidRPr="00737CB2">
        <w:rPr>
          <w:b/>
          <w:bCs/>
        </w:rPr>
        <w:t>Priorities:</w:t>
      </w:r>
      <w:r>
        <w:t xml:space="preserve"> Ethnically and culturally diverse, Artist-led, community focus, innovative</w:t>
      </w:r>
    </w:p>
    <w:p w14:paraId="5838CE05" w14:textId="59D074B9" w:rsidR="00A14169" w:rsidRDefault="00A14169" w:rsidP="00A14169">
      <w:r w:rsidRPr="00C2222B">
        <w:rPr>
          <w:sz w:val="56"/>
          <w:szCs w:val="40"/>
        </w:rPr>
        <w:lastRenderedPageBreak/>
        <w:sym w:font="Wingdings" w:char="F0FE"/>
      </w:r>
      <w:r>
        <w:tab/>
      </w:r>
      <w:r>
        <w:tab/>
      </w:r>
      <w:r w:rsidR="00386F3B">
        <w:t>Equality</w:t>
      </w:r>
    </w:p>
    <w:p w14:paraId="16446864" w14:textId="3F3D8390" w:rsidR="00A14169" w:rsidRDefault="00A14169" w:rsidP="00A14169">
      <w:r w:rsidRPr="00C2222B">
        <w:rPr>
          <w:sz w:val="56"/>
          <w:szCs w:val="40"/>
        </w:rPr>
        <w:sym w:font="Wingdings" w:char="F0FE"/>
      </w:r>
      <w:r>
        <w:tab/>
      </w:r>
      <w:r>
        <w:tab/>
        <w:t>C</w:t>
      </w:r>
      <w:r w:rsidR="00386F3B">
        <w:t>ommunity</w:t>
      </w:r>
    </w:p>
    <w:p w14:paraId="2941B13A" w14:textId="088B2F67" w:rsidR="00A14169" w:rsidRDefault="00A14169" w:rsidP="00A14169">
      <w:r w:rsidRPr="00C2222B">
        <w:rPr>
          <w:sz w:val="56"/>
          <w:szCs w:val="40"/>
        </w:rPr>
        <w:sym w:font="Wingdings" w:char="F0FE"/>
      </w:r>
      <w:r>
        <w:tab/>
      </w:r>
      <w:r>
        <w:tab/>
      </w:r>
      <w:r w:rsidR="00386F3B">
        <w:t>Culture</w:t>
      </w:r>
    </w:p>
    <w:p w14:paraId="7A56EF69" w14:textId="4FE5CBC6" w:rsidR="00A14169" w:rsidRDefault="00A14169" w:rsidP="00A14169">
      <w:r w:rsidRPr="00C2222B">
        <w:rPr>
          <w:sz w:val="56"/>
          <w:szCs w:val="40"/>
        </w:rPr>
        <w:sym w:font="Wingdings" w:char="F0FE"/>
      </w:r>
      <w:r>
        <w:tab/>
      </w:r>
      <w:r>
        <w:tab/>
      </w:r>
      <w:r w:rsidR="00386F3B">
        <w:t>Resilience</w:t>
      </w:r>
    </w:p>
    <w:p w14:paraId="52EAA4F1" w14:textId="0FF76D87" w:rsidR="00E2015B" w:rsidRPr="00E2015B" w:rsidRDefault="00466CEF" w:rsidP="00E2015B">
      <w:pPr>
        <w:pStyle w:val="Heading3"/>
      </w:pPr>
      <w:r>
        <w:br w:type="page"/>
      </w:r>
    </w:p>
    <w:p w14:paraId="6C902521" w14:textId="2E053EB0" w:rsidR="00E17919" w:rsidRPr="008D7822" w:rsidRDefault="00E17919" w:rsidP="008D7822">
      <w:pPr>
        <w:pStyle w:val="Heading2"/>
      </w:pPr>
      <w:bookmarkStart w:id="12" w:name="_Toc139014853"/>
      <w:r w:rsidRPr="008D7822">
        <w:lastRenderedPageBreak/>
        <w:t>Strategic Equality Committee</w:t>
      </w:r>
      <w:bookmarkEnd w:id="12"/>
      <w:r w:rsidRPr="008D7822">
        <w:t xml:space="preserve"> </w:t>
      </w:r>
    </w:p>
    <w:p w14:paraId="70ED4D9C" w14:textId="77777777" w:rsidR="00E17919" w:rsidRDefault="00E17919" w:rsidP="009D44DC">
      <w:r>
        <w:t xml:space="preserve">The monitoring of the Arts Council of </w:t>
      </w:r>
      <w:proofErr w:type="spellStart"/>
      <w:r>
        <w:t>Wales’</w:t>
      </w:r>
      <w:proofErr w:type="spellEnd"/>
      <w:r>
        <w:t xml:space="preserve"> responsibilities under the Public Sector Equality Duty is something that Council has taken very seriously. It has set the bar high and is keen - not only to meet our obligations fully - but to champion the principles underpinning the legislation.</w:t>
      </w:r>
    </w:p>
    <w:p w14:paraId="5AC745CB" w14:textId="77777777" w:rsidR="00E17919" w:rsidRDefault="00E17919" w:rsidP="009D44DC">
      <w:r>
        <w:t xml:space="preserve">The newly established Strategic Equality Committee continued to closely monitor progress with our strategic equality action plan </w:t>
      </w:r>
      <w:proofErr w:type="gramStart"/>
      <w:r>
        <w:t>and also</w:t>
      </w:r>
      <w:proofErr w:type="gramEnd"/>
      <w:r>
        <w:t xml:space="preserve"> gave focus to the development and progress of the Widening Engagement action plan. </w:t>
      </w:r>
    </w:p>
    <w:p w14:paraId="29CD5AC8" w14:textId="77777777" w:rsidR="00E17919" w:rsidRDefault="00E17919" w:rsidP="009D44DC">
      <w:r>
        <w:t xml:space="preserve">The Committee sets the agenda of our equalities work and reports directly to Council on performance against our objectives. </w:t>
      </w:r>
    </w:p>
    <w:p w14:paraId="32124429" w14:textId="77777777" w:rsidR="00231C44" w:rsidRDefault="00231C44" w:rsidP="009D44DC">
      <w:r>
        <w:br w:type="page"/>
      </w:r>
    </w:p>
    <w:p w14:paraId="462082EC" w14:textId="0926D6FC" w:rsidR="00E17919" w:rsidRDefault="00E17919" w:rsidP="008D7822">
      <w:pPr>
        <w:pStyle w:val="Heading2"/>
      </w:pPr>
      <w:bookmarkStart w:id="13" w:name="_Toc139014854"/>
      <w:r>
        <w:lastRenderedPageBreak/>
        <w:t>Meeting our Legislative Responsibilities</w:t>
      </w:r>
      <w:bookmarkEnd w:id="13"/>
    </w:p>
    <w:p w14:paraId="684B7086" w14:textId="77777777" w:rsidR="00E17919" w:rsidRDefault="00E17919" w:rsidP="009D44DC">
      <w:r>
        <w:t xml:space="preserve">During 2021/22 we monitored our progress with the </w:t>
      </w:r>
      <w:proofErr w:type="gramStart"/>
      <w:r>
        <w:t>day to day</w:t>
      </w:r>
      <w:proofErr w:type="gramEnd"/>
      <w:r>
        <w:t xml:space="preserve"> tasks required to meet our obligations under the Public Sector Equality Duty at two meetings of the monitoring group.</w:t>
      </w:r>
    </w:p>
    <w:p w14:paraId="7FBD75D2" w14:textId="77777777" w:rsidR="00E17919" w:rsidRDefault="00E17919" w:rsidP="009D44DC">
      <w:r>
        <w:t>Our plan continues to address the general duty in relation to:</w:t>
      </w:r>
    </w:p>
    <w:p w14:paraId="225DE8A2" w14:textId="325492AC" w:rsidR="00E17919" w:rsidRDefault="00E17919" w:rsidP="00B35530">
      <w:pPr>
        <w:ind w:left="709" w:hanging="709"/>
      </w:pPr>
      <w:r>
        <w:t>•</w:t>
      </w:r>
      <w:r>
        <w:tab/>
        <w:t>Eliminating unlawful discrimination, harassment and victimisation and other conduct that is prohibited by the Act</w:t>
      </w:r>
      <w:r w:rsidR="00063FA3">
        <w:t>.</w:t>
      </w:r>
    </w:p>
    <w:p w14:paraId="07B265B2" w14:textId="1F68250A" w:rsidR="00E17919" w:rsidRDefault="00E17919" w:rsidP="00B35530">
      <w:pPr>
        <w:ind w:left="709" w:hanging="709"/>
      </w:pPr>
      <w:r>
        <w:t>•</w:t>
      </w:r>
      <w:r>
        <w:tab/>
        <w:t>Advancing equality of opportunity between people who share a relevant protected characteristic and those who do not</w:t>
      </w:r>
      <w:r w:rsidR="00063FA3">
        <w:t>.</w:t>
      </w:r>
    </w:p>
    <w:p w14:paraId="61F42525" w14:textId="77777777" w:rsidR="00E17919" w:rsidRDefault="00E17919" w:rsidP="00B35530">
      <w:pPr>
        <w:ind w:left="709" w:hanging="709"/>
      </w:pPr>
      <w:r>
        <w:t>•</w:t>
      </w:r>
      <w:r>
        <w:tab/>
        <w:t xml:space="preserve">Fostering good relations between people who share a protected characteristic and those who do not. </w:t>
      </w:r>
    </w:p>
    <w:p w14:paraId="706A06F2" w14:textId="77777777" w:rsidR="00E17919" w:rsidRDefault="00E17919" w:rsidP="00B35530">
      <w:pPr>
        <w:ind w:left="709" w:hanging="709"/>
      </w:pPr>
      <w:r>
        <w:t>In relation to the specific duties for Wales, we have:</w:t>
      </w:r>
    </w:p>
    <w:p w14:paraId="2E995771" w14:textId="77777777" w:rsidR="00E17919" w:rsidRDefault="00E17919" w:rsidP="00B35530">
      <w:pPr>
        <w:ind w:left="709" w:hanging="709"/>
      </w:pPr>
      <w:r>
        <w:t>•</w:t>
      </w:r>
      <w:r>
        <w:tab/>
        <w:t xml:space="preserve">Continued to monitor and report on pay differences with specific reference to gender pay gaps. </w:t>
      </w:r>
    </w:p>
    <w:p w14:paraId="4BBC68AF" w14:textId="77777777" w:rsidR="00E17919" w:rsidRDefault="00E17919" w:rsidP="00B35530">
      <w:pPr>
        <w:ind w:left="709" w:hanging="709"/>
      </w:pPr>
      <w:r>
        <w:t>•</w:t>
      </w:r>
      <w:r>
        <w:tab/>
        <w:t xml:space="preserve">Collate and monitor employment data, including applications for posts within the Arts Council but </w:t>
      </w:r>
      <w:r>
        <w:lastRenderedPageBreak/>
        <w:t xml:space="preserve">we are still to progress our work around monitoring of training and professional development amongst our staff. This will need to be taken forward in the next financial year. </w:t>
      </w:r>
    </w:p>
    <w:p w14:paraId="1608EB3A" w14:textId="77777777" w:rsidR="00E17919" w:rsidRDefault="00E17919" w:rsidP="00B35530">
      <w:pPr>
        <w:ind w:left="709" w:hanging="709"/>
      </w:pPr>
      <w:r>
        <w:t>•</w:t>
      </w:r>
      <w:r>
        <w:tab/>
        <w:t xml:space="preserve">We have continued to produce detailed equality impact assessments for all policies, </w:t>
      </w:r>
      <w:proofErr w:type="gramStart"/>
      <w:r>
        <w:t>programmes</w:t>
      </w:r>
      <w:proofErr w:type="gramEnd"/>
      <w:r>
        <w:t xml:space="preserve"> and projects. </w:t>
      </w:r>
    </w:p>
    <w:p w14:paraId="6F34C7E4" w14:textId="77777777" w:rsidR="00E17919" w:rsidRDefault="00E17919" w:rsidP="00B35530">
      <w:pPr>
        <w:ind w:left="709" w:hanging="709"/>
      </w:pPr>
      <w:r>
        <w:t>•</w:t>
      </w:r>
      <w:r>
        <w:tab/>
        <w:t xml:space="preserve">We include equalities expectations in our procurement policy and processes but have not yet developed a process for monitoring progress against these expectations. This will need to be taken forward in the next financial year. </w:t>
      </w:r>
    </w:p>
    <w:p w14:paraId="7611F208" w14:textId="77777777" w:rsidR="00231C44" w:rsidRDefault="00231C44" w:rsidP="009D44DC">
      <w:r>
        <w:br w:type="page"/>
      </w:r>
    </w:p>
    <w:p w14:paraId="56E55C07" w14:textId="7A42F730" w:rsidR="00E17919" w:rsidRDefault="00E17919" w:rsidP="008D7822">
      <w:pPr>
        <w:pStyle w:val="Heading2"/>
      </w:pPr>
      <w:bookmarkStart w:id="14" w:name="_Toc139014855"/>
      <w:r>
        <w:lastRenderedPageBreak/>
        <w:t>Evidence of the 5 Ways of Working</w:t>
      </w:r>
      <w:bookmarkEnd w:id="14"/>
    </w:p>
    <w:p w14:paraId="38086F74" w14:textId="77777777" w:rsidR="00E17919" w:rsidRDefault="00E17919" w:rsidP="009D44DC">
      <w:r>
        <w:t>The integration of our work with the work of other public bodies</w:t>
      </w:r>
    </w:p>
    <w:p w14:paraId="36A89919" w14:textId="77777777" w:rsidR="00E17919" w:rsidRDefault="00E17919" w:rsidP="009D44DC">
      <w:r>
        <w:t xml:space="preserve">We continued to work with the network of 11 public bodies on our shared equality objectives and we took over the administration for the group. The network includes bodies such as Natural Resources Wales, Sports Wales, Cardiff and Vale University Health Board, </w:t>
      </w:r>
      <w:proofErr w:type="spellStart"/>
      <w:r>
        <w:t>Velindre</w:t>
      </w:r>
      <w:proofErr w:type="spellEnd"/>
      <w:r>
        <w:t xml:space="preserve"> University NHS Trust, Welsh Language Commissioner, Careers Wales, amongst others.</w:t>
      </w:r>
    </w:p>
    <w:p w14:paraId="7D061365" w14:textId="49BCC508" w:rsidR="00E17919" w:rsidRDefault="00E17919" w:rsidP="009D44DC">
      <w:r>
        <w:t>This partnership will continue with a commitment to monitor our progress against the objectives and share learning and emerging best practi</w:t>
      </w:r>
      <w:r w:rsidR="00CA56C1">
        <w:t>c</w:t>
      </w:r>
      <w:r>
        <w:t>e</w:t>
      </w:r>
      <w:r w:rsidR="00FB66F9">
        <w:t>.</w:t>
      </w:r>
    </w:p>
    <w:p w14:paraId="6D22F62F" w14:textId="77777777" w:rsidR="00E17919" w:rsidRDefault="00E17919" w:rsidP="008D7822">
      <w:pPr>
        <w:pStyle w:val="Heading3"/>
      </w:pPr>
      <w:bookmarkStart w:id="15" w:name="_Toc139014856"/>
      <w:r>
        <w:t xml:space="preserve">Increasing the number of collaborations and partnerships we are involved </w:t>
      </w:r>
      <w:proofErr w:type="gramStart"/>
      <w:r>
        <w:t>in</w:t>
      </w:r>
      <w:bookmarkEnd w:id="15"/>
      <w:proofErr w:type="gramEnd"/>
    </w:p>
    <w:p w14:paraId="714B69E0" w14:textId="77777777" w:rsidR="00E17919" w:rsidRDefault="00E17919" w:rsidP="009D44DC">
      <w:r>
        <w:t>Strong collaborations and partnerships continue to be critical to our work and during the year we have continued to nurture the strategic level partnerships we have established. These have included those referenced below.</w:t>
      </w:r>
    </w:p>
    <w:p w14:paraId="75299981" w14:textId="77777777" w:rsidR="00E17919" w:rsidRDefault="00E17919" w:rsidP="009D44DC">
      <w:r>
        <w:lastRenderedPageBreak/>
        <w:t xml:space="preserve">We have continued to work closely with other Arts Councils across the UK learning from their work and sharing our own. Discussions have continued to focus on the possible development of a UK wide access card scheme. </w:t>
      </w:r>
    </w:p>
    <w:p w14:paraId="57F2CFB1" w14:textId="77777777" w:rsidR="00E17919" w:rsidRDefault="00E17919" w:rsidP="009D44DC">
      <w:r>
        <w:t xml:space="preserve">A key partnership has been with </w:t>
      </w:r>
      <w:proofErr w:type="spellStart"/>
      <w:r>
        <w:t>Amgueddfa</w:t>
      </w:r>
      <w:proofErr w:type="spellEnd"/>
      <w:r>
        <w:t xml:space="preserve"> Cymru on taking forward our Widening Engagement Action Plan.</w:t>
      </w:r>
    </w:p>
    <w:p w14:paraId="19168D73" w14:textId="77777777" w:rsidR="00E17919" w:rsidRDefault="00E17919" w:rsidP="009D44DC">
      <w:r>
        <w:t xml:space="preserve">We are working with key equality bodies to help drive our work forward. These include Stonewall Cymru, Diverse Cymru, </w:t>
      </w:r>
      <w:proofErr w:type="spellStart"/>
      <w:r>
        <w:t>Chwarae</w:t>
      </w:r>
      <w:proofErr w:type="spellEnd"/>
      <w:r>
        <w:t xml:space="preserve"> Teg, Older People’s Commissioner’s Office, Race Council Cymru, Health Boards, Public Health Wales. </w:t>
      </w:r>
    </w:p>
    <w:p w14:paraId="113D2795" w14:textId="77777777" w:rsidR="00E17919" w:rsidRDefault="00E17919" w:rsidP="008D7822">
      <w:pPr>
        <w:pStyle w:val="Heading3"/>
      </w:pPr>
      <w:bookmarkStart w:id="16" w:name="_Toc139014857"/>
      <w:r>
        <w:t xml:space="preserve">Listening to our staff, </w:t>
      </w:r>
      <w:proofErr w:type="gramStart"/>
      <w:r>
        <w:t>stakeholders</w:t>
      </w:r>
      <w:proofErr w:type="gramEnd"/>
      <w:r>
        <w:t xml:space="preserve"> and beneficiaries</w:t>
      </w:r>
      <w:bookmarkEnd w:id="16"/>
    </w:p>
    <w:p w14:paraId="72243872" w14:textId="77777777" w:rsidR="00E17919" w:rsidRDefault="00E17919" w:rsidP="009D44DC">
      <w:r>
        <w:t xml:space="preserve">Our Strategic Equality Committee involves staff from across the organisation as well as external advisors. </w:t>
      </w:r>
    </w:p>
    <w:p w14:paraId="72966BE4" w14:textId="2A120484" w:rsidR="00E17919" w:rsidRDefault="00E17919" w:rsidP="009D44DC">
      <w:r>
        <w:t xml:space="preserve">Consulting with wider stakeholders, specifically organisations and individuals we don’t already have an ongoing relationship with continues to be a key aim and ongoing challenge for us. Our Widening Engagement </w:t>
      </w:r>
      <w:r>
        <w:lastRenderedPageBreak/>
        <w:t>work will be key in informing the future direction of our plan</w:t>
      </w:r>
      <w:r w:rsidR="00BD60C1">
        <w:t>.</w:t>
      </w:r>
    </w:p>
    <w:p w14:paraId="0FB5FB0C" w14:textId="77777777" w:rsidR="00E17919" w:rsidRDefault="00E17919" w:rsidP="008D7822">
      <w:pPr>
        <w:pStyle w:val="Heading3"/>
      </w:pPr>
      <w:bookmarkStart w:id="17" w:name="_Toc139014858"/>
      <w:r>
        <w:t>Preventing Harm</w:t>
      </w:r>
      <w:bookmarkEnd w:id="17"/>
    </w:p>
    <w:p w14:paraId="536CC084" w14:textId="77777777" w:rsidR="00E17919" w:rsidRDefault="00E17919" w:rsidP="009D44DC">
      <w:r>
        <w:t xml:space="preserve">Our equalities objectives have been designed to address the prevention agenda. </w:t>
      </w:r>
    </w:p>
    <w:p w14:paraId="0E227AE6" w14:textId="77777777" w:rsidR="00E17919" w:rsidRDefault="00E17919" w:rsidP="008D7822">
      <w:pPr>
        <w:pStyle w:val="Heading3"/>
      </w:pPr>
      <w:bookmarkStart w:id="18" w:name="_Toc139014859"/>
      <w:r>
        <w:t>Thinking Long Term</w:t>
      </w:r>
      <w:bookmarkEnd w:id="18"/>
    </w:p>
    <w:p w14:paraId="27B2C7DA" w14:textId="5BD16F18" w:rsidR="000D4CD5" w:rsidRDefault="00E17919" w:rsidP="009D44DC">
      <w:r>
        <w:t xml:space="preserve">This continues to be a key driver for our work. Considering the </w:t>
      </w:r>
      <w:proofErr w:type="gramStart"/>
      <w:r>
        <w:t>longer term</w:t>
      </w:r>
      <w:proofErr w:type="gramEnd"/>
      <w:r>
        <w:t xml:space="preserve"> impact of what we do now has become more embedded in our planning.</w:t>
      </w:r>
    </w:p>
    <w:sectPr w:rsidR="000D4CD5" w:rsidSect="00911C33">
      <w:pgSz w:w="11906" w:h="16838"/>
      <w:pgMar w:top="1440" w:right="1440" w:bottom="1135" w:left="1440" w:header="708"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30B9" w14:textId="77777777" w:rsidR="00A65148" w:rsidRDefault="00A65148" w:rsidP="009D44DC">
      <w:r>
        <w:separator/>
      </w:r>
    </w:p>
  </w:endnote>
  <w:endnote w:type="continuationSeparator" w:id="0">
    <w:p w14:paraId="2B23F127" w14:textId="77777777" w:rsidR="00A65148" w:rsidRDefault="00A65148" w:rsidP="009D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14:paraId="6D1010EA" w14:textId="338B0A1C" w:rsidR="00804CA7" w:rsidRDefault="00804CA7" w:rsidP="00B3553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0DBE" w14:textId="77777777" w:rsidR="00A65148" w:rsidRDefault="00A65148" w:rsidP="009D44DC">
      <w:r>
        <w:separator/>
      </w:r>
    </w:p>
  </w:footnote>
  <w:footnote w:type="continuationSeparator" w:id="0">
    <w:p w14:paraId="2C21B803" w14:textId="77777777" w:rsidR="00A65148" w:rsidRDefault="00A65148" w:rsidP="009D4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057F03"/>
    <w:multiLevelType w:val="hybridMultilevel"/>
    <w:tmpl w:val="7016759A"/>
    <w:lvl w:ilvl="0" w:tplc="0CAA4C6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EE45A9"/>
    <w:multiLevelType w:val="hybridMultilevel"/>
    <w:tmpl w:val="6B1804C8"/>
    <w:lvl w:ilvl="0" w:tplc="DA5692F8">
      <w:numFmt w:val="bullet"/>
      <w:pStyle w:val="ListParagraph"/>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457CAE"/>
    <w:multiLevelType w:val="hybridMultilevel"/>
    <w:tmpl w:val="FF947E88"/>
    <w:lvl w:ilvl="0" w:tplc="0CAA4C6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72A80"/>
    <w:multiLevelType w:val="hybridMultilevel"/>
    <w:tmpl w:val="4BC4F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63DDD"/>
    <w:multiLevelType w:val="hybridMultilevel"/>
    <w:tmpl w:val="FD04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6"/>
  </w:num>
  <w:num w:numId="2" w16cid:durableId="618070231">
    <w:abstractNumId w:val="11"/>
  </w:num>
  <w:num w:numId="3" w16cid:durableId="2039038388">
    <w:abstractNumId w:val="0"/>
  </w:num>
  <w:num w:numId="4" w16cid:durableId="554439271">
    <w:abstractNumId w:val="7"/>
  </w:num>
  <w:num w:numId="5" w16cid:durableId="619646623">
    <w:abstractNumId w:val="2"/>
  </w:num>
  <w:num w:numId="6" w16cid:durableId="893539561">
    <w:abstractNumId w:val="4"/>
  </w:num>
  <w:num w:numId="7" w16cid:durableId="1367364487">
    <w:abstractNumId w:val="5"/>
  </w:num>
  <w:num w:numId="8" w16cid:durableId="1453668086">
    <w:abstractNumId w:val="1"/>
  </w:num>
  <w:num w:numId="9" w16cid:durableId="876770955">
    <w:abstractNumId w:val="12"/>
  </w:num>
  <w:num w:numId="10" w16cid:durableId="764960741">
    <w:abstractNumId w:val="8"/>
  </w:num>
  <w:num w:numId="11" w16cid:durableId="355154079">
    <w:abstractNumId w:val="10"/>
  </w:num>
  <w:num w:numId="12" w16cid:durableId="44182223">
    <w:abstractNumId w:val="3"/>
  </w:num>
  <w:num w:numId="13" w16cid:durableId="1927419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48"/>
    <w:rsid w:val="000033B9"/>
    <w:rsid w:val="000136B4"/>
    <w:rsid w:val="00025A6A"/>
    <w:rsid w:val="00045C28"/>
    <w:rsid w:val="00063980"/>
    <w:rsid w:val="00063FA3"/>
    <w:rsid w:val="00071A4D"/>
    <w:rsid w:val="00086BD6"/>
    <w:rsid w:val="00091AA8"/>
    <w:rsid w:val="000962EA"/>
    <w:rsid w:val="000A2EAB"/>
    <w:rsid w:val="000B3B04"/>
    <w:rsid w:val="000B72AE"/>
    <w:rsid w:val="000C2DA7"/>
    <w:rsid w:val="000D1AE9"/>
    <w:rsid w:val="000D4CD5"/>
    <w:rsid w:val="000D50F5"/>
    <w:rsid w:val="000D775B"/>
    <w:rsid w:val="000F1EB6"/>
    <w:rsid w:val="001140A6"/>
    <w:rsid w:val="001213D9"/>
    <w:rsid w:val="00131F42"/>
    <w:rsid w:val="00135004"/>
    <w:rsid w:val="001463D2"/>
    <w:rsid w:val="00153B57"/>
    <w:rsid w:val="001638C9"/>
    <w:rsid w:val="00176018"/>
    <w:rsid w:val="00182188"/>
    <w:rsid w:val="00187595"/>
    <w:rsid w:val="001945EB"/>
    <w:rsid w:val="001A5023"/>
    <w:rsid w:val="001A5DBF"/>
    <w:rsid w:val="001D5ABE"/>
    <w:rsid w:val="001D6829"/>
    <w:rsid w:val="001E575B"/>
    <w:rsid w:val="00211A66"/>
    <w:rsid w:val="002138DE"/>
    <w:rsid w:val="00231C44"/>
    <w:rsid w:val="00247F8C"/>
    <w:rsid w:val="00261F2A"/>
    <w:rsid w:val="002642C2"/>
    <w:rsid w:val="00270BF6"/>
    <w:rsid w:val="0028480D"/>
    <w:rsid w:val="00290F5E"/>
    <w:rsid w:val="00296B20"/>
    <w:rsid w:val="002A2A21"/>
    <w:rsid w:val="002B0F97"/>
    <w:rsid w:val="002B649D"/>
    <w:rsid w:val="002C6258"/>
    <w:rsid w:val="002F2BEF"/>
    <w:rsid w:val="002F7F7F"/>
    <w:rsid w:val="003009EE"/>
    <w:rsid w:val="00304FBE"/>
    <w:rsid w:val="003375CF"/>
    <w:rsid w:val="0034485D"/>
    <w:rsid w:val="003629EE"/>
    <w:rsid w:val="00377A79"/>
    <w:rsid w:val="00383ED6"/>
    <w:rsid w:val="00386F3B"/>
    <w:rsid w:val="00392439"/>
    <w:rsid w:val="003931AC"/>
    <w:rsid w:val="00396511"/>
    <w:rsid w:val="003B34E8"/>
    <w:rsid w:val="003C6E70"/>
    <w:rsid w:val="003D343B"/>
    <w:rsid w:val="003D6007"/>
    <w:rsid w:val="003F43D2"/>
    <w:rsid w:val="00405847"/>
    <w:rsid w:val="00423C6C"/>
    <w:rsid w:val="00442B52"/>
    <w:rsid w:val="004468F5"/>
    <w:rsid w:val="0044739A"/>
    <w:rsid w:val="00460896"/>
    <w:rsid w:val="00466CEF"/>
    <w:rsid w:val="00480FF3"/>
    <w:rsid w:val="004A4D53"/>
    <w:rsid w:val="004B6F6D"/>
    <w:rsid w:val="004D79DD"/>
    <w:rsid w:val="004E401D"/>
    <w:rsid w:val="00507BB4"/>
    <w:rsid w:val="00516460"/>
    <w:rsid w:val="00516CDB"/>
    <w:rsid w:val="00527FFC"/>
    <w:rsid w:val="00546E04"/>
    <w:rsid w:val="00550DD9"/>
    <w:rsid w:val="00554F9F"/>
    <w:rsid w:val="0055669A"/>
    <w:rsid w:val="00561196"/>
    <w:rsid w:val="00580486"/>
    <w:rsid w:val="00581937"/>
    <w:rsid w:val="0059304E"/>
    <w:rsid w:val="005A1D96"/>
    <w:rsid w:val="005B2E24"/>
    <w:rsid w:val="005B46FF"/>
    <w:rsid w:val="005D15FD"/>
    <w:rsid w:val="0064291F"/>
    <w:rsid w:val="00647448"/>
    <w:rsid w:val="006527B3"/>
    <w:rsid w:val="00665DC9"/>
    <w:rsid w:val="00674753"/>
    <w:rsid w:val="00691C52"/>
    <w:rsid w:val="00697236"/>
    <w:rsid w:val="006D1DF8"/>
    <w:rsid w:val="006E0242"/>
    <w:rsid w:val="006E0B54"/>
    <w:rsid w:val="006F60EA"/>
    <w:rsid w:val="00701DE4"/>
    <w:rsid w:val="007279F7"/>
    <w:rsid w:val="00737CB2"/>
    <w:rsid w:val="007417F8"/>
    <w:rsid w:val="00744FC7"/>
    <w:rsid w:val="00747976"/>
    <w:rsid w:val="00762781"/>
    <w:rsid w:val="007667AC"/>
    <w:rsid w:val="00767D9F"/>
    <w:rsid w:val="0077071C"/>
    <w:rsid w:val="00790011"/>
    <w:rsid w:val="00796C74"/>
    <w:rsid w:val="00796E46"/>
    <w:rsid w:val="007A13C1"/>
    <w:rsid w:val="007C1781"/>
    <w:rsid w:val="007C3C05"/>
    <w:rsid w:val="007D04A7"/>
    <w:rsid w:val="007E7F6A"/>
    <w:rsid w:val="007F0EFD"/>
    <w:rsid w:val="007F505D"/>
    <w:rsid w:val="007F70BD"/>
    <w:rsid w:val="00804CA7"/>
    <w:rsid w:val="0081047A"/>
    <w:rsid w:val="0082134C"/>
    <w:rsid w:val="00855F26"/>
    <w:rsid w:val="008621BE"/>
    <w:rsid w:val="00862456"/>
    <w:rsid w:val="0086337A"/>
    <w:rsid w:val="008633C2"/>
    <w:rsid w:val="00864BFE"/>
    <w:rsid w:val="008734D2"/>
    <w:rsid w:val="008774D2"/>
    <w:rsid w:val="008B6FAA"/>
    <w:rsid w:val="008B7EB2"/>
    <w:rsid w:val="008D2EB3"/>
    <w:rsid w:val="008D7822"/>
    <w:rsid w:val="008F488A"/>
    <w:rsid w:val="008F623C"/>
    <w:rsid w:val="0090102A"/>
    <w:rsid w:val="00911C33"/>
    <w:rsid w:val="00917B6A"/>
    <w:rsid w:val="0092440C"/>
    <w:rsid w:val="0093180D"/>
    <w:rsid w:val="00933D84"/>
    <w:rsid w:val="00935752"/>
    <w:rsid w:val="00944E81"/>
    <w:rsid w:val="00963F91"/>
    <w:rsid w:val="009A7F39"/>
    <w:rsid w:val="009B0F81"/>
    <w:rsid w:val="009B56DF"/>
    <w:rsid w:val="009D44DC"/>
    <w:rsid w:val="009D7147"/>
    <w:rsid w:val="009E503E"/>
    <w:rsid w:val="009E5832"/>
    <w:rsid w:val="009F422A"/>
    <w:rsid w:val="009F5C2A"/>
    <w:rsid w:val="00A130B6"/>
    <w:rsid w:val="00A14169"/>
    <w:rsid w:val="00A332C1"/>
    <w:rsid w:val="00A50B53"/>
    <w:rsid w:val="00A52B18"/>
    <w:rsid w:val="00A65148"/>
    <w:rsid w:val="00A73E06"/>
    <w:rsid w:val="00A75063"/>
    <w:rsid w:val="00A82568"/>
    <w:rsid w:val="00A926CC"/>
    <w:rsid w:val="00A92D4F"/>
    <w:rsid w:val="00A95C3B"/>
    <w:rsid w:val="00AA2E16"/>
    <w:rsid w:val="00AA3474"/>
    <w:rsid w:val="00AC27D1"/>
    <w:rsid w:val="00AE721B"/>
    <w:rsid w:val="00B013A4"/>
    <w:rsid w:val="00B11C91"/>
    <w:rsid w:val="00B34E5C"/>
    <w:rsid w:val="00B35530"/>
    <w:rsid w:val="00B7671D"/>
    <w:rsid w:val="00B814DC"/>
    <w:rsid w:val="00B835D6"/>
    <w:rsid w:val="00B859D7"/>
    <w:rsid w:val="00B97D62"/>
    <w:rsid w:val="00BB330F"/>
    <w:rsid w:val="00BB3704"/>
    <w:rsid w:val="00BD23CF"/>
    <w:rsid w:val="00BD60C1"/>
    <w:rsid w:val="00BE0EF0"/>
    <w:rsid w:val="00BF5B87"/>
    <w:rsid w:val="00C15A8C"/>
    <w:rsid w:val="00C2222B"/>
    <w:rsid w:val="00C23677"/>
    <w:rsid w:val="00C345A9"/>
    <w:rsid w:val="00C704E3"/>
    <w:rsid w:val="00C71B02"/>
    <w:rsid w:val="00C81F24"/>
    <w:rsid w:val="00C9439A"/>
    <w:rsid w:val="00CA56C1"/>
    <w:rsid w:val="00CB6794"/>
    <w:rsid w:val="00CC1EAA"/>
    <w:rsid w:val="00CE145B"/>
    <w:rsid w:val="00CF7979"/>
    <w:rsid w:val="00D11B48"/>
    <w:rsid w:val="00D15084"/>
    <w:rsid w:val="00D16396"/>
    <w:rsid w:val="00D2405A"/>
    <w:rsid w:val="00D63173"/>
    <w:rsid w:val="00D645F8"/>
    <w:rsid w:val="00D71841"/>
    <w:rsid w:val="00D76B9B"/>
    <w:rsid w:val="00D9260D"/>
    <w:rsid w:val="00DB0B5C"/>
    <w:rsid w:val="00DF1790"/>
    <w:rsid w:val="00E13891"/>
    <w:rsid w:val="00E17919"/>
    <w:rsid w:val="00E2015B"/>
    <w:rsid w:val="00E4121E"/>
    <w:rsid w:val="00E44C2C"/>
    <w:rsid w:val="00E66218"/>
    <w:rsid w:val="00E70721"/>
    <w:rsid w:val="00E87F50"/>
    <w:rsid w:val="00E925CD"/>
    <w:rsid w:val="00EA295C"/>
    <w:rsid w:val="00EC224B"/>
    <w:rsid w:val="00ED36D0"/>
    <w:rsid w:val="00F02530"/>
    <w:rsid w:val="00F21C06"/>
    <w:rsid w:val="00F47C55"/>
    <w:rsid w:val="00F57B6D"/>
    <w:rsid w:val="00F67A81"/>
    <w:rsid w:val="00F80C30"/>
    <w:rsid w:val="00F9416C"/>
    <w:rsid w:val="00FA36AA"/>
    <w:rsid w:val="00FA6676"/>
    <w:rsid w:val="00FB66F9"/>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60D1D"/>
  <w15:chartTrackingRefBased/>
  <w15:docId w15:val="{CDB7758B-71C5-4E16-8506-CD63E495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4DC"/>
    <w:pPr>
      <w:spacing w:line="360" w:lineRule="auto"/>
    </w:pPr>
    <w:rPr>
      <w:sz w:val="36"/>
      <w:szCs w:val="22"/>
    </w:rPr>
  </w:style>
  <w:style w:type="paragraph" w:styleId="Heading1">
    <w:name w:val="heading 1"/>
    <w:next w:val="Normal"/>
    <w:link w:val="Heading1Char"/>
    <w:uiPriority w:val="2"/>
    <w:qFormat/>
    <w:rsid w:val="00CC1EAA"/>
    <w:pPr>
      <w:keepNext/>
      <w:keepLines/>
      <w:spacing w:after="240"/>
      <w:outlineLvl w:val="0"/>
    </w:pPr>
    <w:rPr>
      <w:rFonts w:eastAsiaTheme="majorEastAsia" w:cstheme="majorBidi"/>
      <w:sz w:val="56"/>
      <w:szCs w:val="56"/>
    </w:rPr>
  </w:style>
  <w:style w:type="paragraph" w:styleId="Heading2">
    <w:name w:val="heading 2"/>
    <w:next w:val="Normal"/>
    <w:link w:val="Heading2Char"/>
    <w:uiPriority w:val="2"/>
    <w:qFormat/>
    <w:rsid w:val="00B7671D"/>
    <w:pPr>
      <w:keepNext/>
      <w:keepLines/>
      <w:spacing w:before="640" w:after="240"/>
      <w:outlineLvl w:val="1"/>
    </w:pPr>
    <w:rPr>
      <w:rFonts w:eastAsiaTheme="majorEastAsia" w:cstheme="majorBidi"/>
      <w:sz w:val="40"/>
      <w:szCs w:val="26"/>
    </w:rPr>
  </w:style>
  <w:style w:type="paragraph" w:styleId="Heading3">
    <w:name w:val="heading 3"/>
    <w:next w:val="Normal"/>
    <w:link w:val="Heading3Char"/>
    <w:uiPriority w:val="2"/>
    <w:qFormat/>
    <w:rsid w:val="001140A6"/>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C1EAA"/>
    <w:rPr>
      <w:rFonts w:eastAsiaTheme="majorEastAsia" w:cstheme="majorBidi"/>
      <w:sz w:val="56"/>
      <w:szCs w:val="56"/>
    </w:rPr>
  </w:style>
  <w:style w:type="character" w:customStyle="1" w:styleId="Heading2Char">
    <w:name w:val="Heading 2 Char"/>
    <w:basedOn w:val="DefaultParagraphFont"/>
    <w:link w:val="Heading2"/>
    <w:uiPriority w:val="2"/>
    <w:rsid w:val="00B7671D"/>
    <w:rPr>
      <w:rFonts w:eastAsiaTheme="majorEastAsia" w:cstheme="majorBidi"/>
      <w:sz w:val="40"/>
      <w:szCs w:val="26"/>
    </w:rPr>
  </w:style>
  <w:style w:type="character" w:customStyle="1" w:styleId="Heading3Char">
    <w:name w:val="Heading 3 Char"/>
    <w:basedOn w:val="DefaultParagraphFont"/>
    <w:link w:val="Heading3"/>
    <w:uiPriority w:val="2"/>
    <w:rsid w:val="001140A6"/>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4468F5"/>
    <w:pPr>
      <w:numPr>
        <w:numId w:val="10"/>
      </w:numPr>
      <w:spacing w:line="259" w:lineRule="auto"/>
      <w:ind w:hanging="720"/>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B35530"/>
    <w:pPr>
      <w:tabs>
        <w:tab w:val="center" w:pos="4513"/>
        <w:tab w:val="right" w:pos="9026"/>
      </w:tabs>
      <w:spacing w:after="0" w:line="240" w:lineRule="auto"/>
      <w:jc w:val="center"/>
    </w:pPr>
    <w:rPr>
      <w:sz w:val="32"/>
    </w:rPr>
  </w:style>
  <w:style w:type="character" w:customStyle="1" w:styleId="FooterChar">
    <w:name w:val="Footer Char"/>
    <w:basedOn w:val="DefaultParagraphFont"/>
    <w:link w:val="Footer"/>
    <w:uiPriority w:val="99"/>
    <w:rsid w:val="00B35530"/>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CA7"/>
    <w:rPr>
      <w:sz w:val="36"/>
      <w:szCs w:val="22"/>
    </w:rPr>
  </w:style>
  <w:style w:type="paragraph" w:styleId="TOC2">
    <w:name w:val="toc 2"/>
    <w:basedOn w:val="Normal"/>
    <w:next w:val="Normal"/>
    <w:autoRedefine/>
    <w:uiPriority w:val="39"/>
    <w:unhideWhenUsed/>
    <w:rsid w:val="009F422A"/>
    <w:pPr>
      <w:tabs>
        <w:tab w:val="right" w:leader="dot" w:pos="9072"/>
      </w:tabs>
      <w:spacing w:after="100" w:line="480" w:lineRule="auto"/>
    </w:pPr>
  </w:style>
  <w:style w:type="paragraph" w:styleId="TOC3">
    <w:name w:val="toc 3"/>
    <w:basedOn w:val="Normal"/>
    <w:next w:val="Normal"/>
    <w:autoRedefine/>
    <w:uiPriority w:val="39"/>
    <w:unhideWhenUsed/>
    <w:rsid w:val="00BF5B87"/>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arts.wales?subject=Enqui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ts.wales/resources/widening-engagement-action-plan-2022-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Equalities%20Annual%20Report\Large%20Print\Large%20Print_English_WG%20and%20Lott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 and Lottery.dotx</Template>
  <TotalTime>142</TotalTime>
  <Pages>38</Pages>
  <Words>3724</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119</cp:revision>
  <dcterms:created xsi:type="dcterms:W3CDTF">2023-06-13T14:13:00Z</dcterms:created>
  <dcterms:modified xsi:type="dcterms:W3CDTF">2023-06-30T10:48:00Z</dcterms:modified>
</cp:coreProperties>
</file>