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222033" w:displacedByCustomXml="next"/>
    <w:bookmarkStart w:id="1" w:name="_Toc24030617" w:displacedByCustomXml="next"/>
    <w:sdt>
      <w:sdtPr>
        <w:rPr>
          <w:rFonts w:cstheme="minorBidi"/>
          <w:bCs/>
          <w:color w:val="595959" w:themeColor="text1" w:themeTint="A6"/>
          <w:sz w:val="24"/>
          <w:szCs w:val="24"/>
        </w:rPr>
        <w:id w:val="-351736613"/>
        <w:docPartObj>
          <w:docPartGallery w:val="Table of Contents"/>
          <w:docPartUnique/>
        </w:docPartObj>
      </w:sdtPr>
      <w:sdtEndPr>
        <w:rPr>
          <w:rFonts w:cstheme="majorBidi"/>
          <w:b/>
          <w:bCs w:val="0"/>
          <w:noProof/>
          <w:color w:val="006699"/>
          <w:sz w:val="32"/>
          <w:szCs w:val="40"/>
        </w:rPr>
      </w:sdtEndPr>
      <w:sdtContent>
        <w:p w14:paraId="04EAC619" w14:textId="7FF5AE34" w:rsidR="00861617" w:rsidRDefault="009A263A" w:rsidP="005472FE">
          <w:pPr>
            <w:pStyle w:val="Heading2"/>
          </w:pPr>
          <w:r w:rsidRPr="00592D97">
            <w:rPr>
              <w:noProof/>
              <w:lang w:eastAsia="en-GB"/>
            </w:rPr>
            <w:drawing>
              <wp:anchor distT="0" distB="0" distL="114300" distR="114300" simplePos="0" relativeHeight="251659264" behindDoc="0" locked="0" layoutInCell="1" allowOverlap="1" wp14:anchorId="5255EFD9" wp14:editId="2ED451D4">
                <wp:simplePos x="0" y="0"/>
                <wp:positionH relativeFrom="margin">
                  <wp:posOffset>-860611</wp:posOffset>
                </wp:positionH>
                <wp:positionV relativeFrom="margin">
                  <wp:posOffset>-699509</wp:posOffset>
                </wp:positionV>
                <wp:extent cx="7669530" cy="1684020"/>
                <wp:effectExtent l="0" t="0" r="7620" b="0"/>
                <wp:wrapSquare wrapText="bothSides"/>
                <wp:docPr id="5" name="Picture 0" descr="Stats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 header.jpg"/>
                        <pic:cNvPicPr/>
                      </pic:nvPicPr>
                      <pic:blipFill>
                        <a:blip r:embed="rId11"/>
                        <a:stretch>
                          <a:fillRect/>
                        </a:stretch>
                      </pic:blipFill>
                      <pic:spPr>
                        <a:xfrm>
                          <a:off x="0" y="0"/>
                          <a:ext cx="7669530" cy="1684020"/>
                        </a:xfrm>
                        <a:prstGeom prst="rect">
                          <a:avLst/>
                        </a:prstGeom>
                      </pic:spPr>
                    </pic:pic>
                  </a:graphicData>
                </a:graphic>
              </wp:anchor>
            </w:drawing>
          </w:r>
        </w:p>
        <w:bookmarkEnd w:id="0" w:displacedByCustomXml="next"/>
        <w:bookmarkEnd w:id="1" w:displacedByCustomXml="next"/>
      </w:sdtContent>
    </w:sdt>
    <w:p w14:paraId="300885F7" w14:textId="7DE8D4FD" w:rsidR="004E42F4" w:rsidRPr="00D0051F" w:rsidRDefault="004E42F4" w:rsidP="005472FE">
      <w:pPr>
        <w:pStyle w:val="Heading1"/>
      </w:pPr>
      <w:bookmarkStart w:id="2" w:name="_Toc34222034"/>
      <w:r w:rsidRPr="00D0051F">
        <w:t>Date: 2020</w:t>
      </w:r>
      <w:bookmarkEnd w:id="2"/>
    </w:p>
    <w:p w14:paraId="604594FA" w14:textId="5EC5B5BF" w:rsidR="004E42F4" w:rsidRPr="00D0051F" w:rsidRDefault="004E42F4" w:rsidP="005472FE">
      <w:pPr>
        <w:pStyle w:val="Heading2"/>
      </w:pPr>
      <w:bookmarkStart w:id="3" w:name="_Toc34222035"/>
      <w:bookmarkStart w:id="4" w:name="_GoBack"/>
      <w:r w:rsidRPr="00D0051F">
        <w:t>2019 Wales Omnibus Survey – Adult engagement in the Arts</w:t>
      </w:r>
      <w:bookmarkEnd w:id="3"/>
    </w:p>
    <w:p w14:paraId="562F5DAF" w14:textId="70F2C4C4" w:rsidR="004E42F4" w:rsidRPr="00D0051F" w:rsidRDefault="004E42F4" w:rsidP="00766AA8">
      <w:pPr>
        <w:pStyle w:val="Heading3"/>
      </w:pPr>
      <w:bookmarkStart w:id="5" w:name="_Toc34222036"/>
      <w:bookmarkEnd w:id="4"/>
      <w:r w:rsidRPr="00D0051F">
        <w:t>Introduction</w:t>
      </w:r>
      <w:bookmarkEnd w:id="5"/>
    </w:p>
    <w:p w14:paraId="4E0D3CBE" w14:textId="09BDB74C" w:rsidR="004E42F4" w:rsidRPr="00C46C40" w:rsidRDefault="004E42F4" w:rsidP="004E42F4">
      <w:r w:rsidRPr="00C46C40">
        <w:t>The Arts Council of Wales has conducted an annual population survey into arts attendance and participation since 1993.  Information is collected on attendance to arts events and participation in artistic activities via a series of questions asked on the Beaufort Research Ltd Wales Omnibus survey in November. At least 1,000 interviews are conducted each year with a sample designed to be representative of the adult population resident in Wales aged 16 and over.</w:t>
      </w:r>
    </w:p>
    <w:p w14:paraId="703D313A" w14:textId="58179EA8" w:rsidR="004E42F4" w:rsidRPr="00766AA8" w:rsidRDefault="004E42F4" w:rsidP="00766AA8">
      <w:r w:rsidRPr="00C46C40">
        <w:t>This paper summarises the latest data on overall arts attendance and participation levels among adults and by key demographic groups.</w:t>
      </w:r>
    </w:p>
    <w:p w14:paraId="2F3F8196" w14:textId="44912FC6" w:rsidR="004E42F4" w:rsidRPr="00D0051F" w:rsidRDefault="004E42F4" w:rsidP="00D0051F">
      <w:pPr>
        <w:pStyle w:val="Heading4"/>
      </w:pPr>
      <w:r w:rsidRPr="00D0051F">
        <w:t>Key Results</w:t>
      </w:r>
    </w:p>
    <w:p w14:paraId="325B1F6D" w14:textId="77777777" w:rsidR="004E42F4" w:rsidRPr="00D0051F" w:rsidRDefault="004E42F4" w:rsidP="004E42F4">
      <w:pPr>
        <w:pStyle w:val="Heading6"/>
        <w:rPr>
          <w:rFonts w:ascii="FS Me" w:eastAsia="Times New Roman" w:hAnsi="FS Me"/>
          <w:bCs/>
          <w:color w:val="006699"/>
          <w:sz w:val="24"/>
          <w:szCs w:val="24"/>
        </w:rPr>
      </w:pPr>
      <w:r w:rsidRPr="00D0051F">
        <w:rPr>
          <w:rFonts w:ascii="FS Me" w:eastAsia="Times New Roman" w:hAnsi="FS Me"/>
          <w:bCs/>
          <w:color w:val="006699"/>
          <w:sz w:val="24"/>
          <w:szCs w:val="24"/>
        </w:rPr>
        <w:t xml:space="preserve">Attendance at Arts Events </w:t>
      </w:r>
    </w:p>
    <w:p w14:paraId="6CD15A75" w14:textId="77777777" w:rsidR="004E42F4" w:rsidRDefault="004E42F4" w:rsidP="004E42F4">
      <w:pPr>
        <w:spacing w:after="240" w:line="320" w:lineRule="exact"/>
        <w:rPr>
          <w:rFonts w:eastAsia="Times New Roman" w:cs="Arial"/>
          <w:color w:val="FF0000"/>
        </w:rPr>
      </w:pPr>
      <w:r w:rsidRPr="00592D97">
        <w:rPr>
          <w:rFonts w:eastAsia="Times New Roman" w:cs="Arial"/>
        </w:rPr>
        <w:t>Since 2006 survey respondents have been questioned about their attendance to a consistent list of 14 artforms</w:t>
      </w:r>
      <w:r w:rsidRPr="00592D97">
        <w:rPr>
          <w:rFonts w:eastAsia="Times New Roman" w:cs="Arial"/>
          <w:vertAlign w:val="superscript"/>
        </w:rPr>
        <w:footnoteReference w:id="2"/>
      </w:r>
      <w:r w:rsidRPr="00592D97">
        <w:rPr>
          <w:rFonts w:eastAsia="Times New Roman" w:cs="Arial"/>
        </w:rPr>
        <w:t xml:space="preserve">. The graph overleaf shows the proportion of adults living in Wales attending at least one of these 14 artforms at least once a year over the last twelve years. </w:t>
      </w:r>
    </w:p>
    <w:p w14:paraId="36882DBF" w14:textId="77777777" w:rsidR="004E42F4" w:rsidRDefault="004E42F4" w:rsidP="004E42F4">
      <w:pPr>
        <w:spacing w:after="240" w:line="320" w:lineRule="exact"/>
      </w:pPr>
      <w:r w:rsidRPr="00C46C40">
        <w:t>86.8% of adults surveyed in 2019 said that they attend at least one arts event a year. This latest data is an increase of 2.2 percentage points in attendance levels from the previous year.</w:t>
      </w:r>
    </w:p>
    <w:p w14:paraId="7384D428" w14:textId="77777777" w:rsidR="009A263A" w:rsidRDefault="009A263A">
      <w:pPr>
        <w:spacing w:before="0" w:after="160" w:line="259" w:lineRule="auto"/>
        <w:rPr>
          <w:rStyle w:val="TitleChar"/>
          <w:b/>
          <w:bCs w:val="0"/>
          <w:i/>
          <w:iCs/>
          <w:noProof/>
          <w:color w:val="2F5496" w:themeColor="accent1" w:themeShade="BF"/>
        </w:rPr>
      </w:pPr>
      <w:r>
        <w:rPr>
          <w:rStyle w:val="TitleChar"/>
          <w:b/>
          <w:bCs w:val="0"/>
          <w:i/>
          <w:iCs/>
          <w:color w:val="2F5496" w:themeColor="accent1" w:themeShade="BF"/>
        </w:rPr>
        <w:br w:type="page"/>
      </w:r>
    </w:p>
    <w:p w14:paraId="5F4D81CF" w14:textId="3B79DAD6" w:rsidR="009A263A" w:rsidRPr="00D0051F" w:rsidRDefault="004E42F4" w:rsidP="009A263A">
      <w:pPr>
        <w:pStyle w:val="Caption"/>
        <w:rPr>
          <w:rFonts w:ascii="FS Me" w:hAnsi="FS Me"/>
          <w:color w:val="595959" w:themeColor="text1" w:themeTint="A6"/>
          <w:sz w:val="24"/>
          <w:szCs w:val="24"/>
        </w:rPr>
      </w:pPr>
      <w:r w:rsidRPr="00D0051F">
        <w:rPr>
          <w:rStyle w:val="TitleChar"/>
          <w:color w:val="595959" w:themeColor="text1" w:themeTint="A6"/>
          <w:sz w:val="24"/>
          <w:szCs w:val="24"/>
        </w:rPr>
        <w:lastRenderedPageBreak/>
        <w:t>Arts Attendance 2009-2019 ten year trend (% attending any of the 14 arts events once a year or more)</w:t>
      </w:r>
    </w:p>
    <w:p w14:paraId="2F46C9E9" w14:textId="6AC73652" w:rsidR="004E42F4" w:rsidRPr="009A263A" w:rsidRDefault="004E42F4" w:rsidP="009A263A">
      <w:pPr>
        <w:pStyle w:val="Caption"/>
        <w:spacing w:after="0"/>
        <w:rPr>
          <w:rFonts w:ascii="FS Me" w:hAnsi="FS Me"/>
          <w:b/>
          <w:i/>
          <w:iCs/>
          <w:color w:val="2F5496" w:themeColor="accent1" w:themeShade="BF"/>
          <w:sz w:val="24"/>
          <w:szCs w:val="24"/>
        </w:rPr>
      </w:pPr>
      <w:r w:rsidRPr="007A6481">
        <w:rPr>
          <w:i/>
          <w:iCs/>
        </w:rPr>
        <w:drawing>
          <wp:inline distT="0" distB="0" distL="0" distR="0" wp14:anchorId="1265F67E" wp14:editId="5BFD49C5">
            <wp:extent cx="6305550" cy="2305050"/>
            <wp:effectExtent l="0" t="0" r="0" b="0"/>
            <wp:docPr id="2" name="Chart 2" descr="Graph showing percentage of adults attending any of the 14 arts forms between 2009 and 2019 once a year or more.&#10;&#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77D41">
        <w:t xml:space="preserve">Base: All Adults (at least 1,000 per wave) </w:t>
      </w:r>
      <w:r w:rsidRPr="00C77D41">
        <w:tab/>
        <w:t xml:space="preserve">    Source: Wales Omnibus survey 2009-2019</w:t>
      </w:r>
    </w:p>
    <w:p w14:paraId="65F8805A" w14:textId="55DFE81E" w:rsidR="004E42F4" w:rsidRPr="00D0051F" w:rsidRDefault="004E42F4" w:rsidP="00C77D41">
      <w:pPr>
        <w:pStyle w:val="ListParagraph"/>
        <w:numPr>
          <w:ilvl w:val="0"/>
          <w:numId w:val="42"/>
        </w:numPr>
        <w:spacing w:after="240" w:line="320" w:lineRule="exact"/>
        <w:ind w:left="714" w:hanging="357"/>
        <w:contextualSpacing w:val="0"/>
        <w:rPr>
          <w:rFonts w:eastAsia="Times New Roman" w:cs="Arial"/>
        </w:rPr>
      </w:pPr>
      <w:r w:rsidRPr="00592D97">
        <w:rPr>
          <w:rFonts w:eastAsia="Times New Roman" w:cs="Arial"/>
        </w:rPr>
        <w:t>When Cinema is excluded from the analysis, just over 8 in 10 adults (82.4%) surveyed say they attended an arts event. This is a small increase on the previous year’s attendance of 79.6%</w:t>
      </w:r>
    </w:p>
    <w:p w14:paraId="6726887E" w14:textId="4A6881D8" w:rsidR="004E42F4" w:rsidRPr="00592D97" w:rsidRDefault="004E42F4" w:rsidP="00C77D41">
      <w:pPr>
        <w:pStyle w:val="ListParagraph"/>
        <w:numPr>
          <w:ilvl w:val="0"/>
          <w:numId w:val="42"/>
        </w:numPr>
        <w:spacing w:after="240"/>
        <w:ind w:left="714" w:hanging="357"/>
        <w:contextualSpacing w:val="0"/>
      </w:pPr>
      <w:r w:rsidRPr="00592D97">
        <w:t>Arts attendance in 2019 continues to correlate with social grade, with those in the higher ABC1 group (the professional, qualified and non-manual workers) showing a greater propensity to attend the arts than those in the lower C2DE groups (the skilled, semi-skilled and unskilled manual workers and non-working people). 93.2% and 79.9% respectively attended arts events in 2019.</w:t>
      </w:r>
    </w:p>
    <w:p w14:paraId="4C4F49C0" w14:textId="77777777" w:rsidR="004E42F4" w:rsidRPr="00592D97" w:rsidRDefault="004E42F4" w:rsidP="00C77D41">
      <w:pPr>
        <w:pStyle w:val="ListParagraph"/>
        <w:numPr>
          <w:ilvl w:val="0"/>
          <w:numId w:val="42"/>
        </w:numPr>
        <w:spacing w:after="480"/>
        <w:ind w:left="714" w:hanging="357"/>
        <w:contextualSpacing w:val="0"/>
      </w:pPr>
      <w:r w:rsidRPr="00592D97">
        <w:t>While there has been a slight increase in attendance levels among the ABC1 group of 4.4 percentage points, the C2DE group remained stable at 80%</w:t>
      </w:r>
    </w:p>
    <w:p w14:paraId="7C829F13" w14:textId="77777777" w:rsidR="00D0051F" w:rsidRDefault="00D0051F">
      <w:pPr>
        <w:spacing w:before="0" w:after="160" w:line="259" w:lineRule="auto"/>
        <w:rPr>
          <w:rFonts w:ascii="FS Me" w:hAnsi="FS Me"/>
          <w:bCs/>
          <w:color w:val="006699"/>
        </w:rPr>
      </w:pPr>
      <w:r>
        <w:br w:type="page"/>
      </w:r>
    </w:p>
    <w:p w14:paraId="6983899D" w14:textId="76434724" w:rsidR="00C77D41" w:rsidRPr="005836AA" w:rsidRDefault="004E42F4" w:rsidP="005836AA">
      <w:pPr>
        <w:pStyle w:val="Title"/>
        <w:rPr>
          <w:sz w:val="24"/>
          <w:szCs w:val="24"/>
        </w:rPr>
      </w:pPr>
      <w:r w:rsidRPr="005836AA">
        <w:rPr>
          <w:sz w:val="24"/>
          <w:szCs w:val="24"/>
        </w:rPr>
        <w:lastRenderedPageBreak/>
        <w:t>Arts Attendance by Social Grade (% attending any artform once a year or more)</w:t>
      </w:r>
    </w:p>
    <w:p w14:paraId="1337B750" w14:textId="77777777" w:rsidR="004D2CFE" w:rsidRDefault="004E42F4" w:rsidP="004E42F4">
      <w:pPr>
        <w:pStyle w:val="Caption"/>
        <w:rPr>
          <w:i/>
          <w:iCs/>
        </w:rPr>
      </w:pPr>
      <w:r w:rsidRPr="00592D97">
        <w:drawing>
          <wp:inline distT="0" distB="0" distL="0" distR="0" wp14:anchorId="5005F12F" wp14:editId="5B70FAE0">
            <wp:extent cx="5731510" cy="2628900"/>
            <wp:effectExtent l="0" t="0" r="2540" b="0"/>
            <wp:docPr id="4" name="Chart 4" descr="Graph showing arts attendance by social grade, percentage attending any artform once a year or more.&#10;">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5C4469" w14:textId="36486AD8" w:rsidR="004E42F4" w:rsidRPr="00760F4F" w:rsidRDefault="004E42F4" w:rsidP="004E42F4">
      <w:pPr>
        <w:pStyle w:val="Caption"/>
        <w:rPr>
          <w:i/>
          <w:iCs/>
          <w:color w:val="auto"/>
        </w:rPr>
      </w:pPr>
      <w:r w:rsidRPr="00760F4F">
        <w:rPr>
          <w:i/>
          <w:iCs/>
        </w:rPr>
        <w:t xml:space="preserve">Base: All Adults (at least 1,000 per wave) </w:t>
      </w:r>
      <w:r w:rsidRPr="00760F4F">
        <w:rPr>
          <w:i/>
          <w:iCs/>
        </w:rPr>
        <w:tab/>
        <w:t>Source: Wales Omnibus survey 2009-2019</w:t>
      </w:r>
    </w:p>
    <w:p w14:paraId="707E7D98" w14:textId="7B6F1BD1" w:rsidR="004E42F4" w:rsidRPr="00D0051F" w:rsidRDefault="004E42F4" w:rsidP="00C77D41">
      <w:pPr>
        <w:pStyle w:val="ListParagraph"/>
        <w:numPr>
          <w:ilvl w:val="0"/>
          <w:numId w:val="43"/>
        </w:numPr>
        <w:spacing w:after="240"/>
        <w:contextualSpacing w:val="0"/>
        <w:rPr>
          <w:color w:val="FF0000"/>
        </w:rPr>
      </w:pPr>
      <w:r w:rsidRPr="00592D97">
        <w:t xml:space="preserve">Adults in the youngest age group, 16- 24 year olds, are more likely to attend the arts in 2019 than any other age group, with 94.2% attending once a year or more. This compares to 75.9% of those aged 65+. However, it was the oldest age group </w:t>
      </w:r>
      <w:r>
        <w:t xml:space="preserve">(65+) </w:t>
      </w:r>
      <w:r w:rsidRPr="00592D97">
        <w:t xml:space="preserve">that had the greatest increase from the previous year of 5.4 percentage </w:t>
      </w:r>
      <w:r>
        <w:t xml:space="preserve">point </w:t>
      </w:r>
      <w:r w:rsidRPr="00592D97">
        <w:t>increase.</w:t>
      </w:r>
    </w:p>
    <w:p w14:paraId="3EFD53E2" w14:textId="01A3CD53" w:rsidR="004E42F4" w:rsidRPr="00D0051F" w:rsidRDefault="004E42F4" w:rsidP="00C77D41">
      <w:pPr>
        <w:pStyle w:val="ListParagraph"/>
        <w:numPr>
          <w:ilvl w:val="0"/>
          <w:numId w:val="43"/>
        </w:numPr>
        <w:spacing w:after="240"/>
        <w:contextualSpacing w:val="0"/>
        <w:rPr>
          <w:color w:val="FF0000"/>
        </w:rPr>
      </w:pPr>
      <w:r w:rsidRPr="00592D97">
        <w:t>The gap in attendance levels by gender has increased in 2019 to 4.4 percentage points from 2.2 percentage points in 2018. More women than men continue to attend arts events in 2019 with 88.9% doing so at least once a year compared to 84.5% of men.</w:t>
      </w:r>
    </w:p>
    <w:p w14:paraId="4F64590C" w14:textId="39531AD3" w:rsidR="004E42F4" w:rsidRPr="00D0051F" w:rsidRDefault="004E42F4" w:rsidP="00C77D41">
      <w:pPr>
        <w:pStyle w:val="ListParagraph"/>
        <w:numPr>
          <w:ilvl w:val="0"/>
          <w:numId w:val="43"/>
        </w:numPr>
        <w:spacing w:after="240"/>
        <w:contextualSpacing w:val="0"/>
      </w:pPr>
      <w:r w:rsidRPr="00592D97">
        <w:t>As in the previous year, the South Central region has the highest levels of attendance to the arts with 89.1% attending arts events at least once during the year. The only region to experience a decrease was the South West region which fell by 0.4 percentage points to 83.8% in 2019.</w:t>
      </w:r>
    </w:p>
    <w:p w14:paraId="6D111623" w14:textId="382B826B" w:rsidR="004E42F4" w:rsidRPr="00D0051F" w:rsidRDefault="004E42F4" w:rsidP="00C77D41">
      <w:pPr>
        <w:pStyle w:val="ListParagraph"/>
        <w:numPr>
          <w:ilvl w:val="0"/>
          <w:numId w:val="43"/>
        </w:numPr>
        <w:spacing w:after="240"/>
        <w:contextualSpacing w:val="0"/>
        <w:rPr>
          <w:color w:val="FF0000"/>
        </w:rPr>
      </w:pPr>
      <w:r w:rsidRPr="00592D97">
        <w:t xml:space="preserve">An increase in attendance levels among Welsh speakers in 2019 to 92.3% from 86.9% in the previous year means the gap between Welsh speakers and non Welsh speakers has increased. </w:t>
      </w:r>
      <w:r>
        <w:t>A</w:t>
      </w:r>
      <w:r w:rsidRPr="00592D97">
        <w:t xml:space="preserve">ttendance levels </w:t>
      </w:r>
      <w:r>
        <w:t>among non Welsh speakers</w:t>
      </w:r>
      <w:r w:rsidRPr="00592D97">
        <w:t xml:space="preserve"> increased by 1 percentage point </w:t>
      </w:r>
      <w:r>
        <w:t>from the previous year. T</w:t>
      </w:r>
      <w:r w:rsidRPr="00592D97">
        <w:t>he gap between the two groups has increased from 2.9 percentage points in 2018 to 7.3 percentage points in 2019.</w:t>
      </w:r>
    </w:p>
    <w:p w14:paraId="438B3F3D" w14:textId="77777777" w:rsidR="004E42F4" w:rsidRPr="00592D97" w:rsidRDefault="004E42F4" w:rsidP="00C77D41">
      <w:pPr>
        <w:pStyle w:val="ListParagraph"/>
        <w:numPr>
          <w:ilvl w:val="0"/>
          <w:numId w:val="43"/>
        </w:numPr>
        <w:spacing w:after="240"/>
        <w:contextualSpacing w:val="0"/>
      </w:pPr>
      <w:r w:rsidRPr="00592D97">
        <w:t>60</w:t>
      </w:r>
      <w:r>
        <w:t>.0</w:t>
      </w:r>
      <w:r w:rsidRPr="00592D97">
        <w:t>% of all adults surveyed went to the cinema in 2019 making it once again the most popular artform to attend. As with previous years, the next most popular artform was ‘Other’ Live Music (49.9%), followed by Carnival/Street Art (46.2%) and attendance to plays (35.8%).</w:t>
      </w:r>
      <w:r w:rsidRPr="00592D97">
        <w:br/>
      </w:r>
    </w:p>
    <w:p w14:paraId="020EBD35" w14:textId="5CF25346" w:rsidR="004E42F4" w:rsidRPr="0076453F" w:rsidRDefault="004E42F4" w:rsidP="00D0051F">
      <w:pPr>
        <w:pStyle w:val="Heading7"/>
        <w:rPr>
          <w:rFonts w:ascii="FS Me" w:eastAsia="Times New Roman" w:hAnsi="FS Me"/>
          <w:i w:val="0"/>
          <w:iCs w:val="0"/>
          <w:color w:val="006699"/>
          <w:sz w:val="28"/>
          <w:szCs w:val="28"/>
        </w:rPr>
      </w:pPr>
      <w:r w:rsidRPr="0076453F">
        <w:rPr>
          <w:rFonts w:ascii="FS Me" w:eastAsia="Times New Roman" w:hAnsi="FS Me"/>
          <w:i w:val="0"/>
          <w:iCs w:val="0"/>
          <w:color w:val="006699"/>
          <w:sz w:val="28"/>
          <w:szCs w:val="28"/>
        </w:rPr>
        <w:lastRenderedPageBreak/>
        <w:t>Participation in arts activities</w:t>
      </w:r>
    </w:p>
    <w:p w14:paraId="0A7D4F88" w14:textId="77777777" w:rsidR="004E42F4" w:rsidRPr="00760F4F" w:rsidRDefault="004E42F4" w:rsidP="004E42F4">
      <w:pPr>
        <w:spacing w:after="240"/>
        <w:rPr>
          <w:rFonts w:eastAsia="Times New Roman" w:cs="Arial"/>
          <w:color w:val="auto"/>
        </w:rPr>
      </w:pPr>
      <w:r w:rsidRPr="00592D97">
        <w:rPr>
          <w:rFonts w:eastAsia="Times New Roman" w:cs="Arial"/>
        </w:rPr>
        <w:t>A consistent list of seven participatory artforms</w:t>
      </w:r>
      <w:r w:rsidRPr="00592D97">
        <w:rPr>
          <w:rFonts w:eastAsia="Times New Roman" w:cs="Arial"/>
          <w:vertAlign w:val="superscript"/>
        </w:rPr>
        <w:footnoteReference w:id="3"/>
      </w:r>
      <w:r w:rsidRPr="00592D97">
        <w:rPr>
          <w:rFonts w:eastAsia="Times New Roman" w:cs="Arial"/>
        </w:rPr>
        <w:t xml:space="preserve">  has been included in the Omnibus survey since 2009. The graph below shows the level of arts participation, in at least one of these activities, over these last nine years.</w:t>
      </w:r>
    </w:p>
    <w:p w14:paraId="57E1E320" w14:textId="7D2015F9" w:rsidR="000F5ACA" w:rsidRPr="00C77D41" w:rsidRDefault="004E42F4" w:rsidP="00C77D41">
      <w:pPr>
        <w:pStyle w:val="ListParagraph"/>
        <w:numPr>
          <w:ilvl w:val="0"/>
          <w:numId w:val="45"/>
        </w:numPr>
        <w:spacing w:after="240"/>
        <w:contextualSpacing w:val="0"/>
        <w:rPr>
          <w:rFonts w:eastAsia="Times New Roman" w:cs="Arial"/>
          <w:color w:val="FF0000"/>
        </w:rPr>
      </w:pPr>
      <w:r w:rsidRPr="00592D97">
        <w:rPr>
          <w:rFonts w:eastAsia="Times New Roman" w:cs="Arial"/>
        </w:rPr>
        <w:t xml:space="preserve">Half of all adults (49.3%) surveyed in 2019 say they participate in arts activities once a year or more. This has increased by 3.7 percentage points from the previous year. </w:t>
      </w:r>
    </w:p>
    <w:p w14:paraId="7CAD50C4" w14:textId="77777777" w:rsidR="0076453F" w:rsidRDefault="004E42F4" w:rsidP="0076453F">
      <w:pPr>
        <w:pStyle w:val="Title"/>
        <w:spacing w:after="0"/>
        <w:rPr>
          <w:sz w:val="24"/>
          <w:szCs w:val="24"/>
        </w:rPr>
      </w:pPr>
      <w:r w:rsidRPr="0076453F">
        <w:rPr>
          <w:sz w:val="24"/>
          <w:szCs w:val="24"/>
        </w:rPr>
        <w:t xml:space="preserve">Percentage of Welsh adults participating in arts activities once a year or more often </w:t>
      </w:r>
    </w:p>
    <w:p w14:paraId="40E0DDF1" w14:textId="6E02CE32" w:rsidR="00C77D41" w:rsidRPr="0076453F" w:rsidRDefault="004E42F4" w:rsidP="0076453F">
      <w:pPr>
        <w:pStyle w:val="Title"/>
        <w:spacing w:before="0"/>
        <w:rPr>
          <w:sz w:val="24"/>
          <w:szCs w:val="24"/>
        </w:rPr>
      </w:pPr>
      <w:r w:rsidRPr="0076453F">
        <w:rPr>
          <w:sz w:val="24"/>
          <w:szCs w:val="24"/>
        </w:rPr>
        <w:t>(7 artforms)</w:t>
      </w:r>
    </w:p>
    <w:p w14:paraId="3364B6F8" w14:textId="67A505EA" w:rsidR="004E42F4" w:rsidRPr="009501B9" w:rsidRDefault="00C77D41" w:rsidP="005836AA">
      <w:pPr>
        <w:pStyle w:val="Title"/>
      </w:pPr>
      <w:r>
        <w:rPr>
          <w:noProof/>
        </w:rPr>
        <w:t xml:space="preserve"> </w:t>
      </w:r>
      <w:r w:rsidR="004E42F4">
        <w:rPr>
          <w:noProof/>
        </w:rPr>
        <w:drawing>
          <wp:inline distT="0" distB="0" distL="0" distR="0" wp14:anchorId="0638248F" wp14:editId="6F8948C4">
            <wp:extent cx="5731510" cy="2545715"/>
            <wp:effectExtent l="0" t="0" r="2540" b="6985"/>
            <wp:docPr id="11" name="Chart 11" descr="Graph showing the percentage of Welsh adults participating in any of the seven arts forms once a year or more often.">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CC19B1" w14:textId="77777777" w:rsidR="004E42F4" w:rsidRPr="00C77D41" w:rsidRDefault="004E42F4" w:rsidP="004E42F4">
      <w:pPr>
        <w:pStyle w:val="Caption"/>
        <w:spacing w:before="240"/>
        <w:rPr>
          <w:color w:val="FF0000"/>
          <w:sz w:val="18"/>
          <w:szCs w:val="18"/>
        </w:rPr>
      </w:pPr>
      <w:r w:rsidRPr="00C77D41">
        <w:rPr>
          <w:color w:val="595959" w:themeColor="text1" w:themeTint="A6"/>
          <w:sz w:val="18"/>
          <w:szCs w:val="18"/>
        </w:rPr>
        <w:t xml:space="preserve">Base: All Adults (at least 1,000 per wave) </w:t>
      </w:r>
      <w:r w:rsidRPr="00C77D41">
        <w:rPr>
          <w:color w:val="595959" w:themeColor="text1" w:themeTint="A6"/>
          <w:sz w:val="18"/>
          <w:szCs w:val="18"/>
        </w:rPr>
        <w:tab/>
        <w:t>Source: Wales Omnibus survey 2009-2018</w:t>
      </w:r>
      <w:r w:rsidRPr="00C77D41">
        <w:rPr>
          <w:rFonts w:eastAsia="Arial Unicode MS"/>
          <w:sz w:val="18"/>
          <w:szCs w:val="18"/>
        </w:rPr>
        <w:br/>
      </w:r>
    </w:p>
    <w:p w14:paraId="591FE3D1" w14:textId="77777777" w:rsidR="004D2CFE" w:rsidRPr="009501B9" w:rsidRDefault="004E42F4" w:rsidP="00C77D41">
      <w:pPr>
        <w:pStyle w:val="ListParagraph"/>
        <w:numPr>
          <w:ilvl w:val="0"/>
          <w:numId w:val="44"/>
        </w:numPr>
        <w:spacing w:after="240"/>
        <w:contextualSpacing w:val="0"/>
        <w:rPr>
          <w:color w:val="FF0000"/>
        </w:rPr>
      </w:pPr>
      <w:r w:rsidRPr="00592D97">
        <w:t>As with arts attendance, participation in the arts also correlates with social grade. In 2019, 53.0% of ABC1 adults participated in the arts compared with 41.0% of C2DEs. There has been little change in the gap between the two</w:t>
      </w:r>
      <w:r w:rsidR="004D2CFE">
        <w:t xml:space="preserve"> </w:t>
      </w:r>
      <w:r w:rsidR="004D2CFE" w:rsidRPr="00592D97">
        <w:t xml:space="preserve">groups in 2019 </w:t>
      </w:r>
      <w:r w:rsidR="004D2CFE">
        <w:t>compared to</w:t>
      </w:r>
      <w:r w:rsidR="004D2CFE" w:rsidRPr="00592D97">
        <w:t xml:space="preserve"> the previous year</w:t>
      </w:r>
      <w:r w:rsidR="004D2CFE">
        <w:t>, with</w:t>
      </w:r>
      <w:r w:rsidR="004D2CFE" w:rsidRPr="00592D97">
        <w:t xml:space="preserve"> a gap of 12.0 percentage points.</w:t>
      </w:r>
    </w:p>
    <w:p w14:paraId="43B3013D" w14:textId="77777777" w:rsidR="004E42F4" w:rsidRDefault="004E42F4" w:rsidP="004E42F4"/>
    <w:p w14:paraId="33C4E013" w14:textId="77777777" w:rsidR="00D0051F" w:rsidRDefault="00D0051F">
      <w:pPr>
        <w:spacing w:before="0" w:after="160" w:line="259" w:lineRule="auto"/>
        <w:rPr>
          <w:rFonts w:ascii="FS Me" w:hAnsi="FS Me"/>
          <w:bCs/>
          <w:color w:val="006699"/>
        </w:rPr>
      </w:pPr>
      <w:r>
        <w:br w:type="page"/>
      </w:r>
    </w:p>
    <w:p w14:paraId="361E2358" w14:textId="77777777" w:rsidR="00C77D41" w:rsidRPr="0076453F" w:rsidRDefault="004D2CFE" w:rsidP="005836AA">
      <w:pPr>
        <w:pStyle w:val="Title"/>
        <w:spacing w:after="0"/>
        <w:rPr>
          <w:sz w:val="24"/>
          <w:szCs w:val="24"/>
        </w:rPr>
      </w:pPr>
      <w:r w:rsidRPr="0076453F">
        <w:rPr>
          <w:sz w:val="24"/>
          <w:szCs w:val="24"/>
        </w:rPr>
        <w:lastRenderedPageBreak/>
        <w:t xml:space="preserve">Arts Participation by Social Grade </w:t>
      </w:r>
    </w:p>
    <w:p w14:paraId="5CC5E120" w14:textId="2C222CD1" w:rsidR="004D2CFE" w:rsidRPr="0076453F" w:rsidRDefault="004D2CFE" w:rsidP="005836AA">
      <w:pPr>
        <w:pStyle w:val="Title"/>
        <w:spacing w:before="0"/>
        <w:rPr>
          <w:sz w:val="24"/>
          <w:szCs w:val="24"/>
        </w:rPr>
      </w:pPr>
      <w:r w:rsidRPr="0076453F">
        <w:rPr>
          <w:sz w:val="24"/>
          <w:szCs w:val="24"/>
        </w:rPr>
        <w:t>(% taking part in any activity once a year or more often)</w:t>
      </w:r>
    </w:p>
    <w:p w14:paraId="40109D39" w14:textId="16623484" w:rsidR="004D2CFE" w:rsidRPr="004D2CFE" w:rsidRDefault="004D2CFE" w:rsidP="004D2CFE">
      <w:r w:rsidRPr="00592D97">
        <w:rPr>
          <w:noProof/>
          <w:lang w:eastAsia="en-GB"/>
        </w:rPr>
        <w:drawing>
          <wp:inline distT="0" distB="0" distL="0" distR="0" wp14:anchorId="2AF019B1" wp14:editId="581670CB">
            <wp:extent cx="5731510" cy="3156005"/>
            <wp:effectExtent l="0" t="0" r="254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DBB378" w14:textId="77777777" w:rsidR="004D2CFE" w:rsidRPr="00592D97" w:rsidRDefault="004D2CFE" w:rsidP="004D2CFE">
      <w:pPr>
        <w:tabs>
          <w:tab w:val="right" w:pos="8647"/>
        </w:tabs>
        <w:ind w:right="-96"/>
        <w:rPr>
          <w:rFonts w:eastAsia="Arial Unicode MS" w:cs="Arial"/>
          <w:sz w:val="18"/>
          <w:szCs w:val="18"/>
        </w:rPr>
      </w:pPr>
      <w:r w:rsidRPr="00592D97">
        <w:rPr>
          <w:rFonts w:eastAsia="Times New Roman" w:cs="Arial"/>
          <w:sz w:val="18"/>
          <w:szCs w:val="18"/>
        </w:rPr>
        <w:t xml:space="preserve">Base: All Adults (at least 1,000 per wave) </w:t>
      </w:r>
      <w:r w:rsidRPr="00592D97">
        <w:rPr>
          <w:rFonts w:eastAsia="Times New Roman" w:cs="Arial"/>
          <w:sz w:val="18"/>
          <w:szCs w:val="18"/>
        </w:rPr>
        <w:tab/>
        <w:t>Source: Wales Omnibus survey 2009-201</w:t>
      </w:r>
      <w:r>
        <w:rPr>
          <w:rFonts w:eastAsia="Times New Roman" w:cs="Arial"/>
          <w:sz w:val="18"/>
          <w:szCs w:val="18"/>
        </w:rPr>
        <w:t>9</w:t>
      </w:r>
    </w:p>
    <w:p w14:paraId="0EB450B0" w14:textId="73E5E00F" w:rsidR="004D2CFE" w:rsidRPr="00C77D41" w:rsidRDefault="004D2CFE" w:rsidP="005836AA">
      <w:pPr>
        <w:pStyle w:val="ListParagraph"/>
        <w:numPr>
          <w:ilvl w:val="0"/>
          <w:numId w:val="46"/>
        </w:numPr>
        <w:spacing w:after="240"/>
        <w:contextualSpacing w:val="0"/>
        <w:rPr>
          <w:color w:val="FF0000"/>
        </w:rPr>
      </w:pPr>
      <w:r w:rsidRPr="00592D97">
        <w:t>Half (51.9%) of respondents aged 16-24 indicated that they participated in an arts event at least once a year or more. This group had the highest levels of participation of all age groups, however it was the only age group to decrease from the previous year, by 5.3 percentage points. The age group with the largest increase from 2018 was the 45-64s who had an 8.2 percentage point increase.</w:t>
      </w:r>
    </w:p>
    <w:p w14:paraId="1F590FF8" w14:textId="5F929B71" w:rsidR="004D2CFE" w:rsidRPr="00592D97" w:rsidRDefault="004D2CFE" w:rsidP="005836AA">
      <w:pPr>
        <w:pStyle w:val="ListParagraph"/>
        <w:numPr>
          <w:ilvl w:val="0"/>
          <w:numId w:val="46"/>
        </w:numPr>
        <w:spacing w:after="240"/>
        <w:contextualSpacing w:val="0"/>
      </w:pPr>
      <w:r w:rsidRPr="00592D97">
        <w:t xml:space="preserve">As in previous years, a greater proportion of women than men participated in the arts in 2019 – 52.3% and 46.1% respectively. The gap between men and women has narrowed a little from 8.5 percentage points in 2018 to 6.2 percentage points in 2019. </w:t>
      </w:r>
    </w:p>
    <w:p w14:paraId="7945C26A" w14:textId="77777777" w:rsidR="004D2CFE" w:rsidRDefault="004D2CFE" w:rsidP="005836AA">
      <w:pPr>
        <w:pStyle w:val="ListParagraph"/>
        <w:numPr>
          <w:ilvl w:val="0"/>
          <w:numId w:val="46"/>
        </w:numPr>
        <w:spacing w:after="240"/>
        <w:contextualSpacing w:val="0"/>
      </w:pPr>
      <w:r w:rsidRPr="00592D97">
        <w:t xml:space="preserve">The region with the highest levels of participation was the South East region with 57.2% taking part in 2019. This has increased by almost 9 percentage points from the previous year. Lowest levels of participation continue to be in the South West region </w:t>
      </w:r>
      <w:r>
        <w:t>(</w:t>
      </w:r>
      <w:r w:rsidRPr="00592D97">
        <w:t>42.2%</w:t>
      </w:r>
      <w:r>
        <w:t>)</w:t>
      </w:r>
      <w:r w:rsidRPr="00592D97">
        <w:t xml:space="preserve">, </w:t>
      </w:r>
      <w:r>
        <w:t xml:space="preserve">this was also the case </w:t>
      </w:r>
      <w:r w:rsidRPr="00592D97">
        <w:t>in 2018.</w:t>
      </w:r>
    </w:p>
    <w:p w14:paraId="044064CF" w14:textId="77777777" w:rsidR="004D2CFE" w:rsidRDefault="004D2CFE" w:rsidP="004D2CFE">
      <w:pPr>
        <w:pStyle w:val="ListParagraph"/>
      </w:pPr>
    </w:p>
    <w:p w14:paraId="33361710" w14:textId="50856619" w:rsidR="004D2CFE" w:rsidRDefault="004D2CFE" w:rsidP="005836AA">
      <w:pPr>
        <w:pStyle w:val="Heading8"/>
        <w:numPr>
          <w:ilvl w:val="0"/>
          <w:numId w:val="46"/>
        </w:numPr>
        <w:spacing w:after="360"/>
        <w:rPr>
          <w:rFonts w:ascii="FS Me Light" w:hAnsi="FS Me Light"/>
          <w:sz w:val="24"/>
          <w:szCs w:val="24"/>
        </w:rPr>
      </w:pPr>
      <w:r w:rsidRPr="00962CBE">
        <w:rPr>
          <w:rFonts w:ascii="FS Me Light" w:hAnsi="FS Me Light"/>
          <w:sz w:val="24"/>
          <w:szCs w:val="24"/>
        </w:rPr>
        <w:t xml:space="preserve">Of the seven participatory artforms, Visual Arts and Crafts is the most popular with just over a quarter (28.2%) of adults participating at least once a year. </w:t>
      </w:r>
      <w:r w:rsidRPr="00592D97">
        <w:rPr>
          <w:rFonts w:ascii="FS Me Light" w:hAnsi="FS Me Light"/>
          <w:sz w:val="24"/>
          <w:szCs w:val="24"/>
        </w:rPr>
        <w:t>Music (18.4%), Film and Video making (14.2%), Digital Arts (13.1%), and creative writing (11.5%) were the next most popular participatory art forms.</w:t>
      </w:r>
    </w:p>
    <w:p w14:paraId="28AAA520" w14:textId="77777777" w:rsidR="00C77D41" w:rsidRPr="00C77D41" w:rsidRDefault="00C77D41" w:rsidP="00C77D41"/>
    <w:p w14:paraId="53EE2788" w14:textId="06B532F7" w:rsidR="004D2CFE" w:rsidRPr="005836AA" w:rsidRDefault="004D2CFE" w:rsidP="005836AA">
      <w:pPr>
        <w:pStyle w:val="Heading8"/>
        <w:spacing w:after="360"/>
        <w:rPr>
          <w:rFonts w:ascii="FS Me" w:hAnsi="FS Me"/>
          <w:color w:val="006699"/>
          <w:sz w:val="28"/>
          <w:szCs w:val="28"/>
        </w:rPr>
      </w:pPr>
      <w:r w:rsidRPr="005836AA">
        <w:rPr>
          <w:rFonts w:ascii="FS Me" w:hAnsi="FS Me"/>
          <w:color w:val="006699"/>
          <w:sz w:val="28"/>
          <w:szCs w:val="28"/>
        </w:rPr>
        <w:lastRenderedPageBreak/>
        <w:t>Frequency</w:t>
      </w:r>
    </w:p>
    <w:p w14:paraId="3636B61F" w14:textId="0B2AAC43" w:rsidR="004D2CFE" w:rsidRPr="005836AA" w:rsidRDefault="004D2CFE" w:rsidP="005836AA">
      <w:pPr>
        <w:spacing w:before="0" w:after="360"/>
        <w:rPr>
          <w:sz w:val="23"/>
          <w:szCs w:val="23"/>
        </w:rPr>
      </w:pPr>
      <w:r w:rsidRPr="00592D97">
        <w:rPr>
          <w:sz w:val="23"/>
          <w:szCs w:val="23"/>
        </w:rPr>
        <w:t>The Arts Council of Wales includes questions on the Beaufort Research Adult Omnibus in November each year. A full report on the dataset will be published in May 2020.</w:t>
      </w:r>
    </w:p>
    <w:p w14:paraId="4659D9FB" w14:textId="0C64E881" w:rsidR="004D2CFE" w:rsidRPr="005836AA" w:rsidRDefault="004D2CFE" w:rsidP="005836AA">
      <w:pPr>
        <w:pStyle w:val="Heading9"/>
        <w:spacing w:after="360"/>
        <w:rPr>
          <w:rFonts w:ascii="FS Me" w:hAnsi="FS Me"/>
          <w:i w:val="0"/>
          <w:iCs w:val="0"/>
          <w:color w:val="006699"/>
          <w:sz w:val="28"/>
          <w:szCs w:val="28"/>
        </w:rPr>
      </w:pPr>
      <w:r w:rsidRPr="005836AA">
        <w:rPr>
          <w:rFonts w:ascii="FS Me" w:hAnsi="FS Me"/>
          <w:i w:val="0"/>
          <w:iCs w:val="0"/>
          <w:color w:val="006699"/>
          <w:sz w:val="28"/>
          <w:szCs w:val="28"/>
        </w:rPr>
        <w:t>Terms and Definitions</w:t>
      </w:r>
    </w:p>
    <w:p w14:paraId="000C5E4F" w14:textId="77777777" w:rsidR="004D2CFE" w:rsidRPr="00592D97" w:rsidRDefault="004D2CFE" w:rsidP="00962CBE">
      <w:pPr>
        <w:spacing w:before="0"/>
      </w:pPr>
      <w:r w:rsidRPr="005836AA">
        <w:rPr>
          <w:rFonts w:ascii="FS Me" w:hAnsi="FS Me"/>
          <w:bCs/>
          <w:color w:val="006699"/>
        </w:rPr>
        <w:t>Attendance</w:t>
      </w:r>
      <w:r w:rsidRPr="00592D97">
        <w:t xml:space="preserve"> is experiencing the arts as an audience member.</w:t>
      </w:r>
    </w:p>
    <w:p w14:paraId="758AB44B" w14:textId="77777777" w:rsidR="004D2CFE" w:rsidRPr="00592D97" w:rsidRDefault="004D2CFE" w:rsidP="004D2CFE">
      <w:pPr>
        <w:contextualSpacing/>
      </w:pPr>
    </w:p>
    <w:p w14:paraId="041017F8" w14:textId="35A556C8" w:rsidR="004D2CFE" w:rsidRPr="00592D97" w:rsidRDefault="004D2CFE" w:rsidP="005836AA">
      <w:pPr>
        <w:spacing w:before="0"/>
      </w:pPr>
      <w:r w:rsidRPr="005836AA">
        <w:rPr>
          <w:rFonts w:ascii="FS Me" w:hAnsi="FS Me"/>
          <w:bCs/>
          <w:color w:val="006699"/>
        </w:rPr>
        <w:t>Participation</w:t>
      </w:r>
      <w:r w:rsidRPr="00592D97">
        <w:t xml:space="preserve"> is active involvement in the arts, such as attending workshops, classes or rehearsals.</w:t>
      </w:r>
    </w:p>
    <w:p w14:paraId="1D3DCFA1" w14:textId="00D73659" w:rsidR="004D2CFE" w:rsidRPr="005836AA" w:rsidRDefault="004D2CFE" w:rsidP="005836AA">
      <w:pPr>
        <w:pStyle w:val="Title"/>
        <w:rPr>
          <w:color w:val="006699"/>
        </w:rPr>
      </w:pPr>
      <w:r w:rsidRPr="005836AA">
        <w:rPr>
          <w:color w:val="006699"/>
        </w:rPr>
        <w:t>Further Information</w:t>
      </w:r>
    </w:p>
    <w:p w14:paraId="675309A9" w14:textId="77777777" w:rsidR="004D2CFE" w:rsidRPr="00592D97" w:rsidRDefault="004D2CFE" w:rsidP="005472FE">
      <w:pPr>
        <w:spacing w:before="120" w:after="240"/>
        <w:contextualSpacing/>
        <w:rPr>
          <w:sz w:val="23"/>
          <w:szCs w:val="23"/>
        </w:rPr>
      </w:pPr>
      <w:r w:rsidRPr="00592D97">
        <w:rPr>
          <w:sz w:val="23"/>
          <w:szCs w:val="23"/>
        </w:rPr>
        <w:t xml:space="preserve">If you have any comments or queries on this data release or if you would like to be added to our regular users list then please contact our research team. </w:t>
      </w:r>
      <w:hyperlink r:id="rId16" w:history="1">
        <w:r w:rsidRPr="00CC527C">
          <w:rPr>
            <w:rStyle w:val="Hyperlink"/>
          </w:rPr>
          <w:t>Research@arts.wales</w:t>
        </w:r>
      </w:hyperlink>
    </w:p>
    <w:p w14:paraId="77A67EBE" w14:textId="77777777" w:rsidR="004D2CFE" w:rsidRPr="00592D97" w:rsidRDefault="004D2CFE" w:rsidP="00962CBE">
      <w:pPr>
        <w:spacing w:line="240" w:lineRule="atLeast"/>
        <w:contextualSpacing/>
        <w:rPr>
          <w:b/>
          <w:sz w:val="28"/>
          <w:szCs w:val="28"/>
        </w:rPr>
      </w:pPr>
    </w:p>
    <w:p w14:paraId="008D9DCE" w14:textId="5D1AC6E9" w:rsidR="004D2CFE" w:rsidRPr="005836AA" w:rsidRDefault="004D2CFE" w:rsidP="005836AA">
      <w:pPr>
        <w:spacing w:before="0" w:line="240" w:lineRule="atLeast"/>
      </w:pPr>
      <w:r w:rsidRPr="00592D97">
        <w:rPr>
          <w:sz w:val="23"/>
          <w:szCs w:val="23"/>
        </w:rPr>
        <w:t xml:space="preserve">Website: </w:t>
      </w:r>
      <w:hyperlink r:id="rId17" w:history="1">
        <w:r w:rsidRPr="00CC527C">
          <w:rPr>
            <w:rStyle w:val="Hyperlink"/>
          </w:rPr>
          <w:t>www.arts.wales</w:t>
        </w:r>
      </w:hyperlink>
    </w:p>
    <w:p w14:paraId="53EB8881" w14:textId="77777777" w:rsidR="004D2CFE" w:rsidRPr="005836AA" w:rsidRDefault="004D2CFE" w:rsidP="005836AA">
      <w:pPr>
        <w:pStyle w:val="Title"/>
        <w:rPr>
          <w:color w:val="006699"/>
        </w:rPr>
      </w:pPr>
      <w:r w:rsidRPr="005836AA">
        <w:rPr>
          <w:color w:val="006699"/>
        </w:rPr>
        <w:t xml:space="preserve">Contact  </w:t>
      </w:r>
    </w:p>
    <w:p w14:paraId="0DE09E33" w14:textId="77777777" w:rsidR="004D2CFE" w:rsidRPr="00592D97" w:rsidRDefault="004D2CFE" w:rsidP="004D2CFE">
      <w:pPr>
        <w:spacing w:after="240"/>
        <w:contextualSpacing/>
        <w:rPr>
          <w:sz w:val="23"/>
          <w:szCs w:val="23"/>
        </w:rPr>
      </w:pPr>
      <w:r w:rsidRPr="00592D97">
        <w:rPr>
          <w:sz w:val="23"/>
          <w:szCs w:val="23"/>
        </w:rPr>
        <w:t>Research and Evaluation Team</w:t>
      </w:r>
    </w:p>
    <w:p w14:paraId="7D21C797" w14:textId="77777777" w:rsidR="004D2CFE" w:rsidRPr="00592D97" w:rsidRDefault="004D2CFE" w:rsidP="005472FE">
      <w:pPr>
        <w:rPr>
          <w:sz w:val="23"/>
          <w:szCs w:val="23"/>
        </w:rPr>
      </w:pPr>
      <w:r w:rsidRPr="00592D97">
        <w:rPr>
          <w:sz w:val="23"/>
          <w:szCs w:val="23"/>
        </w:rPr>
        <w:t>Arts Council of Wales</w:t>
      </w:r>
    </w:p>
    <w:p w14:paraId="13F2ED7C" w14:textId="77777777" w:rsidR="004D2CFE" w:rsidRPr="00592D97" w:rsidRDefault="004D2CFE" w:rsidP="005472FE">
      <w:pPr>
        <w:spacing w:before="0" w:after="240"/>
        <w:contextualSpacing/>
        <w:rPr>
          <w:sz w:val="23"/>
          <w:szCs w:val="23"/>
        </w:rPr>
      </w:pPr>
      <w:r w:rsidRPr="00592D97">
        <w:rPr>
          <w:sz w:val="23"/>
          <w:szCs w:val="23"/>
        </w:rPr>
        <w:t>Bute Place</w:t>
      </w:r>
    </w:p>
    <w:p w14:paraId="698D6AD0" w14:textId="77777777" w:rsidR="004D2CFE" w:rsidRPr="00592D97" w:rsidRDefault="004D2CFE" w:rsidP="004D2CFE">
      <w:pPr>
        <w:spacing w:after="240"/>
        <w:contextualSpacing/>
        <w:rPr>
          <w:sz w:val="23"/>
          <w:szCs w:val="23"/>
        </w:rPr>
      </w:pPr>
      <w:r w:rsidRPr="00592D97">
        <w:rPr>
          <w:sz w:val="23"/>
          <w:szCs w:val="23"/>
        </w:rPr>
        <w:t>Cardiff</w:t>
      </w:r>
    </w:p>
    <w:p w14:paraId="71479350" w14:textId="77777777" w:rsidR="004D2CFE" w:rsidRPr="00592D97" w:rsidRDefault="004D2CFE" w:rsidP="004D2CFE">
      <w:pPr>
        <w:spacing w:after="240"/>
        <w:contextualSpacing/>
        <w:rPr>
          <w:sz w:val="23"/>
          <w:szCs w:val="23"/>
        </w:rPr>
      </w:pPr>
      <w:r w:rsidRPr="00592D97">
        <w:rPr>
          <w:sz w:val="23"/>
          <w:szCs w:val="23"/>
        </w:rPr>
        <w:t>CF10 5AL</w:t>
      </w:r>
    </w:p>
    <w:p w14:paraId="61EB5786" w14:textId="77777777" w:rsidR="004D2CFE" w:rsidRPr="00592D97" w:rsidRDefault="004D2CFE" w:rsidP="004D2CFE">
      <w:pPr>
        <w:spacing w:after="240"/>
        <w:contextualSpacing/>
      </w:pPr>
      <w:r w:rsidRPr="00592D97">
        <w:t>Tel: 029 2044 1375</w:t>
      </w:r>
    </w:p>
    <w:p w14:paraId="68A908B8" w14:textId="59C6836C" w:rsidR="004D2CFE" w:rsidRPr="005836AA" w:rsidRDefault="004D2CFE" w:rsidP="005836AA">
      <w:pPr>
        <w:spacing w:after="240"/>
        <w:contextualSpacing/>
        <w:rPr>
          <w:color w:val="0000FF"/>
          <w:u w:val="single"/>
        </w:rPr>
      </w:pPr>
      <w:r w:rsidRPr="00CC527C">
        <w:rPr>
          <w:rStyle w:val="Hyperlink"/>
        </w:rPr>
        <w:t>Research@arts.wales</w:t>
      </w:r>
    </w:p>
    <w:p w14:paraId="6DD5D1AF" w14:textId="73AB906D" w:rsidR="004D2CFE" w:rsidRPr="005836AA" w:rsidRDefault="004D2CFE" w:rsidP="005836AA">
      <w:pPr>
        <w:pStyle w:val="Title"/>
        <w:rPr>
          <w:color w:val="006699"/>
        </w:rPr>
      </w:pPr>
      <w:r w:rsidRPr="005836AA">
        <w:rPr>
          <w:color w:val="006699"/>
        </w:rPr>
        <w:t>Next Update</w:t>
      </w:r>
    </w:p>
    <w:p w14:paraId="2072FC58" w14:textId="25134C1D" w:rsidR="002271E6" w:rsidRPr="0053127E" w:rsidRDefault="004D2CFE" w:rsidP="00962CBE">
      <w:pPr>
        <w:spacing w:before="0"/>
        <w:rPr>
          <w:rStyle w:val="FootnoteReference"/>
          <w:vertAlign w:val="baseline"/>
          <w:lang w:val="cy-GB"/>
        </w:rPr>
      </w:pPr>
      <w:r w:rsidRPr="00592D97">
        <w:t>May 2</w:t>
      </w:r>
      <w:r w:rsidR="00962CBE">
        <w:t>020</w:t>
      </w:r>
    </w:p>
    <w:sectPr w:rsidR="002271E6" w:rsidRPr="0053127E" w:rsidSect="006B272E">
      <w:footerReference w:type="default" r:id="rId18"/>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1457A" w14:textId="77777777" w:rsidR="00142714" w:rsidRDefault="00142714" w:rsidP="00FA7AAD">
      <w:pPr>
        <w:spacing w:before="0" w:line="240" w:lineRule="auto"/>
      </w:pPr>
      <w:r>
        <w:separator/>
      </w:r>
    </w:p>
  </w:endnote>
  <w:endnote w:type="continuationSeparator" w:id="0">
    <w:p w14:paraId="3775276A" w14:textId="77777777" w:rsidR="00142714" w:rsidRDefault="00142714" w:rsidP="00FA7AAD">
      <w:pPr>
        <w:spacing w:before="0" w:line="240" w:lineRule="auto"/>
      </w:pPr>
      <w:r>
        <w:continuationSeparator/>
      </w:r>
    </w:p>
  </w:endnote>
  <w:endnote w:type="continuationNotice" w:id="1">
    <w:p w14:paraId="56595F9F" w14:textId="77777777" w:rsidR="00142714" w:rsidRDefault="0014271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299532"/>
      <w:docPartObj>
        <w:docPartGallery w:val="Page Numbers (Bottom of Page)"/>
        <w:docPartUnique/>
      </w:docPartObj>
    </w:sdtPr>
    <w:sdtEndPr>
      <w:rPr>
        <w:rFonts w:ascii="FS Me" w:hAnsi="FS Me"/>
        <w:noProof/>
        <w:sz w:val="20"/>
        <w:szCs w:val="20"/>
      </w:rPr>
    </w:sdtEndPr>
    <w:sdtContent>
      <w:p w14:paraId="3F2FC988" w14:textId="3D8FDCAF" w:rsidR="0076453F" w:rsidRPr="0076453F" w:rsidRDefault="0076453F">
        <w:pPr>
          <w:pStyle w:val="Footer"/>
          <w:jc w:val="right"/>
          <w:rPr>
            <w:rFonts w:ascii="FS Me" w:hAnsi="FS Me"/>
            <w:sz w:val="20"/>
            <w:szCs w:val="20"/>
          </w:rPr>
        </w:pPr>
        <w:r w:rsidRPr="0076453F">
          <w:rPr>
            <w:rFonts w:ascii="FS Me" w:hAnsi="FS Me"/>
            <w:sz w:val="20"/>
            <w:szCs w:val="20"/>
          </w:rPr>
          <w:fldChar w:fldCharType="begin"/>
        </w:r>
        <w:r w:rsidRPr="0076453F">
          <w:rPr>
            <w:rFonts w:ascii="FS Me" w:hAnsi="FS Me"/>
            <w:sz w:val="20"/>
            <w:szCs w:val="20"/>
          </w:rPr>
          <w:instrText xml:space="preserve"> PAGE   \* MERGEFORMAT </w:instrText>
        </w:r>
        <w:r w:rsidRPr="0076453F">
          <w:rPr>
            <w:rFonts w:ascii="FS Me" w:hAnsi="FS Me"/>
            <w:sz w:val="20"/>
            <w:szCs w:val="20"/>
          </w:rPr>
          <w:fldChar w:fldCharType="separate"/>
        </w:r>
        <w:r w:rsidRPr="0076453F">
          <w:rPr>
            <w:rFonts w:ascii="FS Me" w:hAnsi="FS Me"/>
            <w:noProof/>
            <w:sz w:val="20"/>
            <w:szCs w:val="20"/>
          </w:rPr>
          <w:t>2</w:t>
        </w:r>
        <w:r w:rsidRPr="0076453F">
          <w:rPr>
            <w:rFonts w:ascii="FS Me" w:hAnsi="FS Me"/>
            <w:noProof/>
            <w:sz w:val="20"/>
            <w:szCs w:val="20"/>
          </w:rPr>
          <w:fldChar w:fldCharType="end"/>
        </w:r>
      </w:p>
    </w:sdtContent>
  </w:sdt>
  <w:p w14:paraId="7D5ED49B" w14:textId="77777777" w:rsidR="0076453F" w:rsidRDefault="0076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51788" w14:textId="77777777" w:rsidR="00142714" w:rsidRDefault="00142714" w:rsidP="00FA7AAD">
      <w:pPr>
        <w:spacing w:before="0" w:line="240" w:lineRule="auto"/>
      </w:pPr>
      <w:r>
        <w:separator/>
      </w:r>
    </w:p>
  </w:footnote>
  <w:footnote w:type="continuationSeparator" w:id="0">
    <w:p w14:paraId="572635B2" w14:textId="77777777" w:rsidR="00142714" w:rsidRDefault="00142714" w:rsidP="00FA7AAD">
      <w:pPr>
        <w:spacing w:before="0" w:line="240" w:lineRule="auto"/>
      </w:pPr>
      <w:r>
        <w:continuationSeparator/>
      </w:r>
    </w:p>
  </w:footnote>
  <w:footnote w:type="continuationNotice" w:id="1">
    <w:p w14:paraId="034CB3DE" w14:textId="77777777" w:rsidR="00142714" w:rsidRDefault="00142714">
      <w:pPr>
        <w:spacing w:before="0" w:line="240" w:lineRule="auto"/>
      </w:pPr>
    </w:p>
  </w:footnote>
  <w:footnote w:id="2">
    <w:p w14:paraId="214FB9F4" w14:textId="77777777" w:rsidR="004E42F4" w:rsidRPr="008300AE" w:rsidRDefault="004E42F4" w:rsidP="004E42F4">
      <w:pPr>
        <w:pStyle w:val="FootnoteText"/>
      </w:pPr>
      <w:r>
        <w:rPr>
          <w:rStyle w:val="FootnoteReference"/>
        </w:rPr>
        <w:footnoteRef/>
      </w:r>
      <w:r>
        <w:t xml:space="preserve"> </w:t>
      </w:r>
      <w:r w:rsidRPr="00C46C40">
        <w:t>Fourteen artform categories: Cinema, Musical (not opera), Opera, Ballet, Contemporary dance, Plays, Classical music (concert/recital), Jazz (concert/performance), Folk/Traditional/World Music, Other live music, Art/Craft galleries or Exhibitions, Readings/Storytellings and other Literary Events, Carnivals and Street Arts, Arts Festivals (e.g. Music, Dance, Drama, Literature).</w:t>
      </w:r>
    </w:p>
    <w:p w14:paraId="0A9D76A6" w14:textId="77777777" w:rsidR="004E42F4" w:rsidRPr="008300AE" w:rsidRDefault="004E42F4" w:rsidP="004E42F4">
      <w:pPr>
        <w:pStyle w:val="FootnoteText"/>
      </w:pPr>
    </w:p>
    <w:p w14:paraId="55DD69D6" w14:textId="67C30094" w:rsidR="004E42F4" w:rsidRDefault="004E42F4" w:rsidP="004E42F4">
      <w:pPr>
        <w:pStyle w:val="FootnoteText"/>
      </w:pPr>
    </w:p>
    <w:p w14:paraId="3EFA2234" w14:textId="77777777" w:rsidR="009A263A" w:rsidRDefault="009A263A" w:rsidP="004E42F4">
      <w:pPr>
        <w:pStyle w:val="FootnoteText"/>
      </w:pPr>
    </w:p>
  </w:footnote>
  <w:footnote w:id="3">
    <w:p w14:paraId="10B8A812" w14:textId="77777777" w:rsidR="004E42F4" w:rsidRDefault="004E42F4" w:rsidP="004E42F4">
      <w:pPr>
        <w:pStyle w:val="FootnoteText"/>
        <w:spacing w:before="240" w:after="240" w:line="240" w:lineRule="atLeast"/>
      </w:pPr>
      <w:r>
        <w:rPr>
          <w:rStyle w:val="FootnoteReference"/>
        </w:rPr>
        <w:footnoteRef/>
      </w:r>
      <w:r>
        <w:t xml:space="preserve"> </w:t>
      </w:r>
      <w:r w:rsidRPr="002E0F0D">
        <w:t>Seven artforms including Music, Drama or Theatrical Activity, Dance, Film Video or Photography, Visual Arts and Crafts, Creative Writing, and Digital 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963F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808C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2CB6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404B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E694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F80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684278"/>
    <w:multiLevelType w:val="hybridMultilevel"/>
    <w:tmpl w:val="2DDCD69C"/>
    <w:lvl w:ilvl="0" w:tplc="080AB5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B528F"/>
    <w:multiLevelType w:val="hybridMultilevel"/>
    <w:tmpl w:val="3A5059B8"/>
    <w:lvl w:ilvl="0" w:tplc="0560B2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3C7B43"/>
    <w:multiLevelType w:val="hybridMultilevel"/>
    <w:tmpl w:val="1600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5966E2"/>
    <w:multiLevelType w:val="hybridMultilevel"/>
    <w:tmpl w:val="6130FED2"/>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BA5E5F"/>
    <w:multiLevelType w:val="hybridMultilevel"/>
    <w:tmpl w:val="6840FBA8"/>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437D85"/>
    <w:multiLevelType w:val="hybridMultilevel"/>
    <w:tmpl w:val="61DE120A"/>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2F19E1"/>
    <w:multiLevelType w:val="hybridMultilevel"/>
    <w:tmpl w:val="00900B64"/>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7"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737857"/>
    <w:multiLevelType w:val="hybridMultilevel"/>
    <w:tmpl w:val="DC1005B8"/>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FD2A02"/>
    <w:multiLevelType w:val="hybridMultilevel"/>
    <w:tmpl w:val="668A3F90"/>
    <w:lvl w:ilvl="0" w:tplc="0560B2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7"/>
  </w:num>
  <w:num w:numId="14">
    <w:abstractNumId w:val="13"/>
  </w:num>
  <w:num w:numId="15">
    <w:abstractNumId w:val="13"/>
    <w:lvlOverride w:ilvl="0">
      <w:startOverride w:val="1"/>
    </w:lvlOverride>
  </w:num>
  <w:num w:numId="16">
    <w:abstractNumId w:val="30"/>
  </w:num>
  <w:num w:numId="17">
    <w:abstractNumId w:val="25"/>
  </w:num>
  <w:num w:numId="18">
    <w:abstractNumId w:val="44"/>
  </w:num>
  <w:num w:numId="19">
    <w:abstractNumId w:val="15"/>
  </w:num>
  <w:num w:numId="20">
    <w:abstractNumId w:val="20"/>
  </w:num>
  <w:num w:numId="21">
    <w:abstractNumId w:val="37"/>
  </w:num>
  <w:num w:numId="22">
    <w:abstractNumId w:val="14"/>
  </w:num>
  <w:num w:numId="23">
    <w:abstractNumId w:val="24"/>
  </w:num>
  <w:num w:numId="24">
    <w:abstractNumId w:val="28"/>
  </w:num>
  <w:num w:numId="25">
    <w:abstractNumId w:val="10"/>
  </w:num>
  <w:num w:numId="26">
    <w:abstractNumId w:val="36"/>
  </w:num>
  <w:num w:numId="27">
    <w:abstractNumId w:val="33"/>
  </w:num>
  <w:num w:numId="28">
    <w:abstractNumId w:val="18"/>
  </w:num>
  <w:num w:numId="29">
    <w:abstractNumId w:val="43"/>
  </w:num>
  <w:num w:numId="30">
    <w:abstractNumId w:val="39"/>
  </w:num>
  <w:num w:numId="31">
    <w:abstractNumId w:val="32"/>
  </w:num>
  <w:num w:numId="32">
    <w:abstractNumId w:val="16"/>
  </w:num>
  <w:num w:numId="33">
    <w:abstractNumId w:val="38"/>
  </w:num>
  <w:num w:numId="34">
    <w:abstractNumId w:val="11"/>
  </w:num>
  <w:num w:numId="35">
    <w:abstractNumId w:val="22"/>
  </w:num>
  <w:num w:numId="36">
    <w:abstractNumId w:val="26"/>
  </w:num>
  <w:num w:numId="37">
    <w:abstractNumId w:val="40"/>
  </w:num>
  <w:num w:numId="38">
    <w:abstractNumId w:val="19"/>
  </w:num>
  <w:num w:numId="39">
    <w:abstractNumId w:val="21"/>
  </w:num>
  <w:num w:numId="40">
    <w:abstractNumId w:val="42"/>
  </w:num>
  <w:num w:numId="41">
    <w:abstractNumId w:val="27"/>
  </w:num>
  <w:num w:numId="42">
    <w:abstractNumId w:val="35"/>
  </w:num>
  <w:num w:numId="43">
    <w:abstractNumId w:val="34"/>
  </w:num>
  <w:num w:numId="44">
    <w:abstractNumId w:val="29"/>
  </w:num>
  <w:num w:numId="45">
    <w:abstractNumId w:val="41"/>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isplayBackgroundShap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614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69"/>
    <w:rsid w:val="00001DDE"/>
    <w:rsid w:val="00012F38"/>
    <w:rsid w:val="00016173"/>
    <w:rsid w:val="000306F1"/>
    <w:rsid w:val="00037DA4"/>
    <w:rsid w:val="00044127"/>
    <w:rsid w:val="0005735E"/>
    <w:rsid w:val="00067540"/>
    <w:rsid w:val="000727B4"/>
    <w:rsid w:val="0009320A"/>
    <w:rsid w:val="000976DC"/>
    <w:rsid w:val="000A6D00"/>
    <w:rsid w:val="000B4B05"/>
    <w:rsid w:val="000B5973"/>
    <w:rsid w:val="000C52E5"/>
    <w:rsid w:val="000C647F"/>
    <w:rsid w:val="000C7E69"/>
    <w:rsid w:val="000F2ED7"/>
    <w:rsid w:val="000F5ACA"/>
    <w:rsid w:val="000F66CF"/>
    <w:rsid w:val="001232C4"/>
    <w:rsid w:val="0012721A"/>
    <w:rsid w:val="00142714"/>
    <w:rsid w:val="0014782F"/>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47A5C"/>
    <w:rsid w:val="00270ECE"/>
    <w:rsid w:val="0027190D"/>
    <w:rsid w:val="00273770"/>
    <w:rsid w:val="002835D5"/>
    <w:rsid w:val="002850ED"/>
    <w:rsid w:val="002857F9"/>
    <w:rsid w:val="002C5245"/>
    <w:rsid w:val="002D5A67"/>
    <w:rsid w:val="002D7DD4"/>
    <w:rsid w:val="002E1B69"/>
    <w:rsid w:val="002E2C62"/>
    <w:rsid w:val="002E481E"/>
    <w:rsid w:val="002F057C"/>
    <w:rsid w:val="00300BBE"/>
    <w:rsid w:val="00301B67"/>
    <w:rsid w:val="00312E16"/>
    <w:rsid w:val="0031417F"/>
    <w:rsid w:val="00314CE7"/>
    <w:rsid w:val="0033189A"/>
    <w:rsid w:val="00341361"/>
    <w:rsid w:val="00341575"/>
    <w:rsid w:val="003439AE"/>
    <w:rsid w:val="003502BC"/>
    <w:rsid w:val="0035373E"/>
    <w:rsid w:val="003554A1"/>
    <w:rsid w:val="00362821"/>
    <w:rsid w:val="003667D6"/>
    <w:rsid w:val="00366F48"/>
    <w:rsid w:val="003752CF"/>
    <w:rsid w:val="00383B85"/>
    <w:rsid w:val="00392A42"/>
    <w:rsid w:val="003B1BFC"/>
    <w:rsid w:val="003C11BF"/>
    <w:rsid w:val="003D0BC0"/>
    <w:rsid w:val="003D0EA7"/>
    <w:rsid w:val="003D46C9"/>
    <w:rsid w:val="003D63D7"/>
    <w:rsid w:val="003E01F4"/>
    <w:rsid w:val="003E1EB3"/>
    <w:rsid w:val="003E3388"/>
    <w:rsid w:val="003E5E79"/>
    <w:rsid w:val="003F215F"/>
    <w:rsid w:val="003F7B15"/>
    <w:rsid w:val="004224E0"/>
    <w:rsid w:val="00435FE0"/>
    <w:rsid w:val="00460F64"/>
    <w:rsid w:val="004709AC"/>
    <w:rsid w:val="00470F9A"/>
    <w:rsid w:val="00494E9E"/>
    <w:rsid w:val="00496489"/>
    <w:rsid w:val="004A1A06"/>
    <w:rsid w:val="004B3526"/>
    <w:rsid w:val="004B5C36"/>
    <w:rsid w:val="004B6AAA"/>
    <w:rsid w:val="004D2CFE"/>
    <w:rsid w:val="004E42F4"/>
    <w:rsid w:val="004E5963"/>
    <w:rsid w:val="00517C9C"/>
    <w:rsid w:val="00520C14"/>
    <w:rsid w:val="00524B3F"/>
    <w:rsid w:val="0053054E"/>
    <w:rsid w:val="0053127E"/>
    <w:rsid w:val="00531B3D"/>
    <w:rsid w:val="00532018"/>
    <w:rsid w:val="00533EA3"/>
    <w:rsid w:val="005472FE"/>
    <w:rsid w:val="005520AC"/>
    <w:rsid w:val="00560193"/>
    <w:rsid w:val="00563AC3"/>
    <w:rsid w:val="005758E8"/>
    <w:rsid w:val="005836AA"/>
    <w:rsid w:val="00586CD5"/>
    <w:rsid w:val="005947D1"/>
    <w:rsid w:val="005B09B5"/>
    <w:rsid w:val="005B539E"/>
    <w:rsid w:val="005C0108"/>
    <w:rsid w:val="005D1046"/>
    <w:rsid w:val="005D74C0"/>
    <w:rsid w:val="00607EA6"/>
    <w:rsid w:val="0062390D"/>
    <w:rsid w:val="00636FBA"/>
    <w:rsid w:val="00637639"/>
    <w:rsid w:val="00693D6C"/>
    <w:rsid w:val="006A271C"/>
    <w:rsid w:val="006A7A1B"/>
    <w:rsid w:val="006B14A7"/>
    <w:rsid w:val="006B272E"/>
    <w:rsid w:val="006B6F4A"/>
    <w:rsid w:val="006C4FFC"/>
    <w:rsid w:val="006F359E"/>
    <w:rsid w:val="00727B49"/>
    <w:rsid w:val="00752615"/>
    <w:rsid w:val="007636DB"/>
    <w:rsid w:val="0076453F"/>
    <w:rsid w:val="00766AA8"/>
    <w:rsid w:val="0077778E"/>
    <w:rsid w:val="00781098"/>
    <w:rsid w:val="00781BE2"/>
    <w:rsid w:val="007A0554"/>
    <w:rsid w:val="007A5911"/>
    <w:rsid w:val="007B7084"/>
    <w:rsid w:val="007E3F2D"/>
    <w:rsid w:val="00804CFC"/>
    <w:rsid w:val="0080508D"/>
    <w:rsid w:val="00805C65"/>
    <w:rsid w:val="00810D0D"/>
    <w:rsid w:val="00815E74"/>
    <w:rsid w:val="00821631"/>
    <w:rsid w:val="00827AD3"/>
    <w:rsid w:val="00833CCF"/>
    <w:rsid w:val="00834163"/>
    <w:rsid w:val="00854A0F"/>
    <w:rsid w:val="00855B09"/>
    <w:rsid w:val="00861617"/>
    <w:rsid w:val="00861856"/>
    <w:rsid w:val="00861A55"/>
    <w:rsid w:val="008678A7"/>
    <w:rsid w:val="00867CAF"/>
    <w:rsid w:val="008940B6"/>
    <w:rsid w:val="008B19E5"/>
    <w:rsid w:val="008B5020"/>
    <w:rsid w:val="008E0ACB"/>
    <w:rsid w:val="00907EA9"/>
    <w:rsid w:val="00923A9C"/>
    <w:rsid w:val="009338BC"/>
    <w:rsid w:val="00962CBE"/>
    <w:rsid w:val="00984076"/>
    <w:rsid w:val="00984419"/>
    <w:rsid w:val="00987E67"/>
    <w:rsid w:val="00995861"/>
    <w:rsid w:val="009A263A"/>
    <w:rsid w:val="009A3EFC"/>
    <w:rsid w:val="009A44B3"/>
    <w:rsid w:val="009A58CB"/>
    <w:rsid w:val="009A5D75"/>
    <w:rsid w:val="009B3E09"/>
    <w:rsid w:val="009D457C"/>
    <w:rsid w:val="00A04705"/>
    <w:rsid w:val="00A103DE"/>
    <w:rsid w:val="00A1064E"/>
    <w:rsid w:val="00A2011F"/>
    <w:rsid w:val="00A3125B"/>
    <w:rsid w:val="00A4790A"/>
    <w:rsid w:val="00A55D0E"/>
    <w:rsid w:val="00A57502"/>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77D41"/>
    <w:rsid w:val="00C86BF7"/>
    <w:rsid w:val="00C90FD2"/>
    <w:rsid w:val="00CA646A"/>
    <w:rsid w:val="00CC1C7E"/>
    <w:rsid w:val="00CC2E6A"/>
    <w:rsid w:val="00CC33C7"/>
    <w:rsid w:val="00CC622B"/>
    <w:rsid w:val="00CC7EE9"/>
    <w:rsid w:val="00CD71F6"/>
    <w:rsid w:val="00CE106E"/>
    <w:rsid w:val="00CE318A"/>
    <w:rsid w:val="00CE3EF1"/>
    <w:rsid w:val="00CF1797"/>
    <w:rsid w:val="00CF19D1"/>
    <w:rsid w:val="00CF33D3"/>
    <w:rsid w:val="00CF4458"/>
    <w:rsid w:val="00CF75ED"/>
    <w:rsid w:val="00D0051F"/>
    <w:rsid w:val="00D02484"/>
    <w:rsid w:val="00D03CA4"/>
    <w:rsid w:val="00D07E29"/>
    <w:rsid w:val="00D33088"/>
    <w:rsid w:val="00D373AD"/>
    <w:rsid w:val="00D4068A"/>
    <w:rsid w:val="00D4118D"/>
    <w:rsid w:val="00D451F1"/>
    <w:rsid w:val="00D613B8"/>
    <w:rsid w:val="00D762EF"/>
    <w:rsid w:val="00D83654"/>
    <w:rsid w:val="00D85464"/>
    <w:rsid w:val="00D86F84"/>
    <w:rsid w:val="00D96E30"/>
    <w:rsid w:val="00DA1110"/>
    <w:rsid w:val="00DD0CAB"/>
    <w:rsid w:val="00E017AB"/>
    <w:rsid w:val="00E1262B"/>
    <w:rsid w:val="00E13916"/>
    <w:rsid w:val="00E1595B"/>
    <w:rsid w:val="00E2024A"/>
    <w:rsid w:val="00E348B3"/>
    <w:rsid w:val="00E412D9"/>
    <w:rsid w:val="00E45794"/>
    <w:rsid w:val="00E541DD"/>
    <w:rsid w:val="00E925DA"/>
    <w:rsid w:val="00E933F8"/>
    <w:rsid w:val="00EA4053"/>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3D06"/>
    <w:rsid w:val="00F63E88"/>
    <w:rsid w:val="00F653B3"/>
    <w:rsid w:val="00F721AD"/>
    <w:rsid w:val="00F8505C"/>
    <w:rsid w:val="00F86B3D"/>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9c,#069"/>
    </o:shapedefaults>
    <o:shapelayout v:ext="edit">
      <o:idmap v:ext="edit" data="1"/>
    </o:shapelayout>
  </w:shapeDefaults>
  <w:decimalSymbol w:val="."/>
  <w:listSeparator w:val=","/>
  <w14:docId w14:val="191541D6"/>
  <w15:chartTrackingRefBased/>
  <w15:docId w15:val="{D93D47C0-F76A-4A8D-B643-BD51AA5C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5472FE"/>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5472FE"/>
    <w:pPr>
      <w:spacing w:before="24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D0051F"/>
    <w:pPr>
      <w:spacing w:after="240"/>
      <w:outlineLvl w:val="3"/>
    </w:pPr>
    <w:rPr>
      <w:rFonts w:ascii="FS Me" w:hAnsi="FS Me"/>
      <w:bCs/>
      <w:color w:val="006699"/>
      <w:sz w:val="28"/>
      <w:szCs w:val="28"/>
    </w:rPr>
  </w:style>
  <w:style w:type="paragraph" w:styleId="Heading6">
    <w:name w:val="heading 6"/>
    <w:basedOn w:val="Normal"/>
    <w:next w:val="Normal"/>
    <w:link w:val="Heading6Char"/>
    <w:uiPriority w:val="9"/>
    <w:unhideWhenUsed/>
    <w:qFormat/>
    <w:rsid w:val="004E42F4"/>
    <w:pPr>
      <w:keepNext/>
      <w:keepLines/>
      <w:spacing w:before="40"/>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unhideWhenUsed/>
    <w:qFormat/>
    <w:rsid w:val="004E42F4"/>
    <w:pPr>
      <w:keepNext/>
      <w:keepLines/>
      <w:spacing w:before="40"/>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unhideWhenUsed/>
    <w:qFormat/>
    <w:rsid w:val="004D2CF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D2CF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2FE"/>
    <w:rPr>
      <w:rFonts w:ascii="FS Me" w:hAnsi="FS Me"/>
      <w:color w:val="006699"/>
      <w:sz w:val="44"/>
      <w:szCs w:val="44"/>
      <w:lang w:val="en-GB"/>
    </w:rPr>
  </w:style>
  <w:style w:type="character" w:customStyle="1" w:styleId="Heading2Char">
    <w:name w:val="Heading 2 Char"/>
    <w:basedOn w:val="DefaultParagraphFont"/>
    <w:link w:val="Heading2"/>
    <w:uiPriority w:val="9"/>
    <w:rsid w:val="005472FE"/>
    <w:rPr>
      <w:rFonts w:ascii="FS Me" w:hAnsi="FS Me" w:cstheme="majorBidi"/>
      <w:color w:val="006699"/>
      <w:sz w:val="32"/>
      <w:szCs w:val="40"/>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D0051F"/>
    <w:rPr>
      <w:rFonts w:ascii="FS Me" w:hAnsi="FS Me"/>
      <w:bCs/>
      <w:color w:val="006699"/>
      <w:sz w:val="28"/>
      <w:szCs w:val="28"/>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uiPriority w:val="10"/>
    <w:qFormat/>
    <w:rsid w:val="005836AA"/>
    <w:pPr>
      <w:spacing w:before="360" w:after="360"/>
    </w:pPr>
    <w:rPr>
      <w:rFonts w:ascii="FS Me" w:hAnsi="FS Me"/>
      <w:bCs/>
      <w:sz w:val="28"/>
      <w:szCs w:val="28"/>
    </w:rPr>
  </w:style>
  <w:style w:type="character" w:customStyle="1" w:styleId="TitleChar">
    <w:name w:val="Title Char"/>
    <w:basedOn w:val="DefaultParagraphFont"/>
    <w:link w:val="Title"/>
    <w:uiPriority w:val="10"/>
    <w:rsid w:val="005836AA"/>
    <w:rPr>
      <w:rFonts w:ascii="FS Me" w:hAnsi="FS Me"/>
      <w:bCs/>
      <w:sz w:val="28"/>
      <w:szCs w:val="28"/>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autoRedefine/>
    <w:unhideWhenUsed/>
    <w:qFormat/>
    <w:rsid w:val="00CF75ED"/>
    <w:pPr>
      <w:spacing w:before="5000" w:after="240"/>
    </w:pPr>
    <w:rPr>
      <w:color w:val="404040" w:themeColor="text1" w:themeTint="BF"/>
      <w:szCs w:val="22"/>
    </w:rPr>
  </w:style>
  <w:style w:type="character" w:customStyle="1" w:styleId="BodyTextChar">
    <w:name w:val="Body Text Char"/>
    <w:basedOn w:val="DefaultParagraphFont"/>
    <w:link w:val="BodyText"/>
    <w:rsid w:val="00CF75ED"/>
    <w:rPr>
      <w:color w:val="404040" w:themeColor="text1" w:themeTint="BF"/>
      <w:szCs w:val="22"/>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customStyle="1" w:styleId="Heading6Char">
    <w:name w:val="Heading 6 Char"/>
    <w:basedOn w:val="DefaultParagraphFont"/>
    <w:link w:val="Heading6"/>
    <w:uiPriority w:val="9"/>
    <w:rsid w:val="004E42F4"/>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rsid w:val="004E42F4"/>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rsid w:val="004D2CF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4D2CFE"/>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www.arts.wales" TargetMode="External"/><Relationship Id="rId2" Type="http://schemas.openxmlformats.org/officeDocument/2006/relationships/customXml" Target="../customXml/item2.xml"/><Relationship Id="rId16" Type="http://schemas.openxmlformats.org/officeDocument/2006/relationships/hyperlink" Target="mailto:Research@arts.wa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hwb/sites/artsdev/ResearchTeam/RP/Welsh_Omnibus_Survey/Supporting_Documentation/Welsh_Omnibus_Survey/Omnibus_2019/Initial%20Release%20Data%20Wales%20Omnibus%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rahj\Desktop\Initial%20Release%20Data%20Wales%20Omnibus%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hwb/sites/artsdev/ResearchTeam/RP/Welsh_Omnibus_Survey/Supporting_Documentation/Welsh_Omnibus_Survey/Omnibus_2019/Initial%20Release%20Data%20Wales%20Omnibus%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dLbls>
            <c:dLbl>
              <c:idx val="2"/>
              <c:layout>
                <c:manualLayout>
                  <c:x val="-6.1302674594663218E-3"/>
                  <c:y val="-3.38164122574414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BF-479D-B5DB-6A50474BEAAC}"/>
                </c:ext>
              </c:extLst>
            </c:dLbl>
            <c:dLbl>
              <c:idx val="3"/>
              <c:layout>
                <c:manualLayout>
                  <c:x val="0"/>
                  <c:y val="1.90064213144580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BF-479D-B5DB-6A50474BEAAC}"/>
                </c:ext>
              </c:extLst>
            </c:dLbl>
            <c:dLbl>
              <c:idx val="5"/>
              <c:layout>
                <c:manualLayout>
                  <c:x val="-3.1931694339554792E-3"/>
                  <c:y val="2.39077089627947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BF-479D-B5DB-6A50474BEAAC}"/>
                </c:ext>
              </c:extLst>
            </c:dLbl>
            <c:dLbl>
              <c:idx val="6"/>
              <c:layout>
                <c:manualLayout>
                  <c:x val="0"/>
                  <c:y val="-4.37956036570670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BF-479D-B5DB-6A50474BEAAC}"/>
                </c:ext>
              </c:extLst>
            </c:dLbl>
            <c:dLbl>
              <c:idx val="8"/>
              <c:layout>
                <c:manualLayout>
                  <c:x val="0"/>
                  <c:y val="-3.38164122574414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DBF-479D-B5DB-6A50474BEAAC}"/>
                </c:ext>
              </c:extLst>
            </c:dLbl>
            <c:dLbl>
              <c:idx val="9"/>
              <c:layout>
                <c:manualLayout>
                  <c:x val="0"/>
                  <c:y val="-2.41545801838866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DBF-479D-B5DB-6A50474BEAAC}"/>
                </c:ext>
              </c:extLst>
            </c:dLbl>
            <c:numFmt formatCode="0.0%" sourceLinked="0"/>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'Arts attendance'!$E$4:$O$4</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'Arts attendance'!$E$6:$O$6</c:f>
              <c:numCache>
                <c:formatCode>General</c:formatCode>
                <c:ptCount val="11"/>
                <c:pt idx="0">
                  <c:v>77.3</c:v>
                </c:pt>
                <c:pt idx="1">
                  <c:v>79.2</c:v>
                </c:pt>
                <c:pt idx="2">
                  <c:v>74.400000000000006</c:v>
                </c:pt>
                <c:pt idx="3">
                  <c:v>76.3</c:v>
                </c:pt>
                <c:pt idx="4">
                  <c:v>75.099999999999994</c:v>
                </c:pt>
                <c:pt idx="5">
                  <c:v>79.8</c:v>
                </c:pt>
                <c:pt idx="6">
                  <c:v>78.599999999999994</c:v>
                </c:pt>
                <c:pt idx="7">
                  <c:v>78.099999999999994</c:v>
                </c:pt>
                <c:pt idx="8">
                  <c:v>80.7</c:v>
                </c:pt>
                <c:pt idx="9">
                  <c:v>84.6</c:v>
                </c:pt>
                <c:pt idx="10">
                  <c:v>86.8</c:v>
                </c:pt>
              </c:numCache>
            </c:numRef>
          </c:val>
          <c:smooth val="0"/>
          <c:extLst>
            <c:ext xmlns:c16="http://schemas.microsoft.com/office/drawing/2014/chart" uri="{C3380CC4-5D6E-409C-BE32-E72D297353CC}">
              <c16:uniqueId val="{00000006-FDBF-479D-B5DB-6A50474BEAAC}"/>
            </c:ext>
          </c:extLst>
        </c:ser>
        <c:dLbls>
          <c:showLegendKey val="0"/>
          <c:showVal val="0"/>
          <c:showCatName val="0"/>
          <c:showSerName val="0"/>
          <c:showPercent val="0"/>
          <c:showBubbleSize val="0"/>
        </c:dLbls>
        <c:marker val="1"/>
        <c:smooth val="0"/>
        <c:axId val="23190912"/>
        <c:axId val="23261568"/>
      </c:lineChart>
      <c:catAx>
        <c:axId val="23190912"/>
        <c:scaling>
          <c:orientation val="minMax"/>
        </c:scaling>
        <c:delete val="0"/>
        <c:axPos val="b"/>
        <c:numFmt formatCode="General" sourceLinked="1"/>
        <c:majorTickMark val="none"/>
        <c:minorTickMark val="none"/>
        <c:tickLblPos val="nextTo"/>
        <c:crossAx val="23261568"/>
        <c:crosses val="autoZero"/>
        <c:auto val="1"/>
        <c:lblAlgn val="ctr"/>
        <c:lblOffset val="100"/>
        <c:noMultiLvlLbl val="0"/>
      </c:catAx>
      <c:valAx>
        <c:axId val="23261568"/>
        <c:scaling>
          <c:orientation val="minMax"/>
          <c:max val="100"/>
          <c:min val="0"/>
        </c:scaling>
        <c:delete val="0"/>
        <c:axPos val="l"/>
        <c:majorGridlines/>
        <c:numFmt formatCode="0.0%" sourceLinked="0"/>
        <c:majorTickMark val="none"/>
        <c:minorTickMark val="none"/>
        <c:tickLblPos val="nextTo"/>
        <c:crossAx val="23190912"/>
        <c:crosses val="autoZero"/>
        <c:crossBetween val="between"/>
        <c:majorUnit val="20"/>
        <c:dispUnits>
          <c:builtInUnit val="hundreds"/>
        </c:dispUnits>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'Arts attendance'!$C$34</c:f>
              <c:strCache>
                <c:ptCount val="1"/>
                <c:pt idx="0">
                  <c:v>ABC1</c:v>
                </c:pt>
              </c:strCache>
            </c:strRef>
          </c:tx>
          <c:dLbls>
            <c:dLbl>
              <c:idx val="0"/>
              <c:layout>
                <c:manualLayout>
                  <c:x val="-1.1681268251981644E-2"/>
                  <c:y val="4.36562011141498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11-43E2-A59D-68AD27838526}"/>
                </c:ext>
              </c:extLst>
            </c:dLbl>
            <c:dLbl>
              <c:idx val="1"/>
              <c:layout>
                <c:manualLayout>
                  <c:x val="-6.6751418275469007E-3"/>
                  <c:y val="-1.81900837975624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11-43E2-A59D-68AD27838526}"/>
                </c:ext>
              </c:extLst>
            </c:dLbl>
            <c:dLbl>
              <c:idx val="2"/>
              <c:layout>
                <c:manualLayout>
                  <c:x val="-2.5031289111389236E-2"/>
                  <c:y val="-5.09322346331747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11-43E2-A59D-68AD27838526}"/>
                </c:ext>
              </c:extLst>
            </c:dLbl>
            <c:dLbl>
              <c:idx val="3"/>
              <c:layout>
                <c:manualLayout>
                  <c:x val="-2.5031289111389236E-2"/>
                  <c:y val="3.2742150835612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11-43E2-A59D-68AD27838526}"/>
                </c:ext>
              </c:extLst>
            </c:dLbl>
            <c:dLbl>
              <c:idx val="4"/>
              <c:layout>
                <c:manualLayout>
                  <c:x val="-3.3375052148518982E-3"/>
                  <c:y val="7.27574706101240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11-43E2-A59D-68AD27838526}"/>
                </c:ext>
              </c:extLst>
            </c:dLbl>
            <c:dLbl>
              <c:idx val="5"/>
              <c:layout>
                <c:manualLayout>
                  <c:x val="-1.1681268251981644E-2"/>
                  <c:y val="-2.18281005570748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11-43E2-A59D-68AD27838526}"/>
                </c:ext>
              </c:extLst>
            </c:dLbl>
            <c:dLbl>
              <c:idx val="6"/>
              <c:layout>
                <c:manualLayout>
                  <c:x val="-2.002503128911139E-2"/>
                  <c:y val="3.27418643775997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11-43E2-A59D-68AD27838526}"/>
                </c:ext>
              </c:extLst>
            </c:dLbl>
            <c:dLbl>
              <c:idx val="7"/>
              <c:layout>
                <c:manualLayout>
                  <c:x val="-2.3362536503963287E-2"/>
                  <c:y val="-4.36562011141497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B11-43E2-A59D-68AD27838526}"/>
                </c:ext>
              </c:extLst>
            </c:dLbl>
            <c:dLbl>
              <c:idx val="8"/>
              <c:layout>
                <c:manualLayout>
                  <c:x val="-1.6687526074259492E-2"/>
                  <c:y val="4.00181843546373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B11-43E2-A59D-68AD27838526}"/>
                </c:ext>
              </c:extLst>
            </c:dLbl>
            <c:dLbl>
              <c:idx val="9"/>
              <c:layout>
                <c:manualLayout>
                  <c:x val="-3.3375052148518982E-3"/>
                  <c:y val="1.81900837975624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B11-43E2-A59D-68AD27838526}"/>
                </c:ext>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'Arts attendance'!$F$32:$Q$32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'Arts attendance'!$F$34:$Q$34</c:f>
              <c:numCache>
                <c:formatCode>0.0%</c:formatCode>
                <c:ptCount val="11"/>
                <c:pt idx="0">
                  <c:v>0.86699999999999999</c:v>
                </c:pt>
                <c:pt idx="1">
                  <c:v>0.879</c:v>
                </c:pt>
                <c:pt idx="2">
                  <c:v>0.83</c:v>
                </c:pt>
                <c:pt idx="3">
                  <c:v>0.84399999999999997</c:v>
                </c:pt>
                <c:pt idx="4">
                  <c:v>0.83699999999999997</c:v>
                </c:pt>
                <c:pt idx="5">
                  <c:v>0.876</c:v>
                </c:pt>
                <c:pt idx="6">
                  <c:v>0.84799999999999998</c:v>
                </c:pt>
                <c:pt idx="7">
                  <c:v>0.85199999999999998</c:v>
                </c:pt>
                <c:pt idx="8">
                  <c:v>0.86399999999999999</c:v>
                </c:pt>
                <c:pt idx="9">
                  <c:v>0.88800000000000001</c:v>
                </c:pt>
                <c:pt idx="10">
                  <c:v>0.93200000000000005</c:v>
                </c:pt>
              </c:numCache>
            </c:numRef>
          </c:val>
          <c:smooth val="0"/>
          <c:extLst>
            <c:ext xmlns:c16="http://schemas.microsoft.com/office/drawing/2014/chart" uri="{C3380CC4-5D6E-409C-BE32-E72D297353CC}">
              <c16:uniqueId val="{0000000A-4B11-43E2-A59D-68AD27838526}"/>
            </c:ext>
          </c:extLst>
        </c:ser>
        <c:ser>
          <c:idx val="1"/>
          <c:order val="1"/>
          <c:tx>
            <c:strRef>
              <c:f>'Arts attendance'!$C$35</c:f>
              <c:strCache>
                <c:ptCount val="1"/>
                <c:pt idx="0">
                  <c:v>C2DE </c:v>
                </c:pt>
              </c:strCache>
            </c:strRef>
          </c:tx>
          <c:dLbls>
            <c:dLbl>
              <c:idx val="0"/>
              <c:layout>
                <c:manualLayout>
                  <c:x val="-5.0062578222778474E-3"/>
                  <c:y val="1.09140502785374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B11-43E2-A59D-68AD27838526}"/>
                </c:ext>
              </c:extLst>
            </c:dLbl>
            <c:dLbl>
              <c:idx val="1"/>
              <c:layout>
                <c:manualLayout>
                  <c:x val="-1.6687526074259185E-3"/>
                  <c:y val="-2.1828100557074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B11-43E2-A59D-68AD27838526}"/>
                </c:ext>
              </c:extLst>
            </c:dLbl>
            <c:dLbl>
              <c:idx val="2"/>
              <c:layout>
                <c:manualLayout>
                  <c:x val="-8.343763037129746E-3"/>
                  <c:y val="2.18281005570748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B11-43E2-A59D-68AD27838526}"/>
                </c:ext>
              </c:extLst>
            </c:dLbl>
            <c:dLbl>
              <c:idx val="3"/>
              <c:layout>
                <c:manualLayout>
                  <c:x val="-2.8368794326241134E-2"/>
                  <c:y val="-4.00181843546373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B11-43E2-A59D-68AD27838526}"/>
                </c:ext>
              </c:extLst>
            </c:dLbl>
            <c:dLbl>
              <c:idx val="4"/>
              <c:layout>
                <c:manualLayout>
                  <c:x val="-6.1186888769457792E-17"/>
                  <c:y val="2.1828100557074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B11-43E2-A59D-68AD27838526}"/>
                </c:ext>
              </c:extLst>
            </c:dLbl>
            <c:dLbl>
              <c:idx val="5"/>
              <c:layout>
                <c:manualLayout>
                  <c:x val="-2.3362536503963287E-2"/>
                  <c:y val="-4.36562011141497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B11-43E2-A59D-68AD27838526}"/>
                </c:ext>
              </c:extLst>
            </c:dLbl>
            <c:dLbl>
              <c:idx val="6"/>
              <c:layout>
                <c:manualLayout>
                  <c:x val="-1.3350020859407593E-2"/>
                  <c:y val="-3.2742150835612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B11-43E2-A59D-68AD27838526}"/>
                </c:ext>
              </c:extLst>
            </c:dLbl>
            <c:dLbl>
              <c:idx val="7"/>
              <c:layout>
                <c:manualLayout>
                  <c:x val="1.5018773466833541E-2"/>
                  <c:y val="-1.09140502785373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B11-43E2-A59D-68AD27838526}"/>
                </c:ext>
              </c:extLst>
            </c:dLbl>
            <c:dLbl>
              <c:idx val="8"/>
              <c:layout>
                <c:manualLayout>
                  <c:x val="0"/>
                  <c:y val="2.18281005570748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B11-43E2-A59D-68AD27838526}"/>
                </c:ext>
              </c:extLst>
            </c:dLbl>
            <c:dLbl>
              <c:idx val="9"/>
              <c:layout>
                <c:manualLayout>
                  <c:x val="0"/>
                  <c:y val="-1.93236714975844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B11-43E2-A59D-68AD27838526}"/>
                </c:ext>
              </c:extLst>
            </c:dLbl>
            <c:dLbl>
              <c:idx val="11"/>
              <c:layout>
                <c:manualLayout>
                  <c:x val="0"/>
                  <c:y val="-1.45520670380499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B11-43E2-A59D-68AD27838526}"/>
                </c:ext>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'Arts attendance'!$F$32:$Q$32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'Arts attendance'!$F$35:$Q$35</c:f>
              <c:numCache>
                <c:formatCode>0.0%</c:formatCode>
                <c:ptCount val="11"/>
                <c:pt idx="0">
                  <c:v>0.69699999999999995</c:v>
                </c:pt>
                <c:pt idx="1">
                  <c:v>0.71499999999999997</c:v>
                </c:pt>
                <c:pt idx="2">
                  <c:v>0.66800000000000004</c:v>
                </c:pt>
                <c:pt idx="3">
                  <c:v>0.69599999999999995</c:v>
                </c:pt>
                <c:pt idx="4">
                  <c:v>0.68799999999999994</c:v>
                </c:pt>
                <c:pt idx="5">
                  <c:v>0.74199999999999999</c:v>
                </c:pt>
                <c:pt idx="6">
                  <c:v>0.746</c:v>
                </c:pt>
                <c:pt idx="7">
                  <c:v>0.70799999999999996</c:v>
                </c:pt>
                <c:pt idx="8">
                  <c:v>0.75</c:v>
                </c:pt>
                <c:pt idx="9">
                  <c:v>0.80400000000000005</c:v>
                </c:pt>
                <c:pt idx="10">
                  <c:v>0.79900000000000004</c:v>
                </c:pt>
              </c:numCache>
            </c:numRef>
          </c:val>
          <c:smooth val="0"/>
          <c:extLst>
            <c:ext xmlns:c16="http://schemas.microsoft.com/office/drawing/2014/chart" uri="{C3380CC4-5D6E-409C-BE32-E72D297353CC}">
              <c16:uniqueId val="{00000016-4B11-43E2-A59D-68AD27838526}"/>
            </c:ext>
          </c:extLst>
        </c:ser>
        <c:dLbls>
          <c:dLblPos val="r"/>
          <c:showLegendKey val="0"/>
          <c:showVal val="1"/>
          <c:showCatName val="0"/>
          <c:showSerName val="0"/>
          <c:showPercent val="0"/>
          <c:showBubbleSize val="0"/>
        </c:dLbls>
        <c:marker val="1"/>
        <c:smooth val="0"/>
        <c:axId val="27982080"/>
        <c:axId val="45818240"/>
      </c:lineChart>
      <c:catAx>
        <c:axId val="27982080"/>
        <c:scaling>
          <c:orientation val="minMax"/>
        </c:scaling>
        <c:delete val="0"/>
        <c:axPos val="b"/>
        <c:numFmt formatCode="General" sourceLinked="1"/>
        <c:majorTickMark val="none"/>
        <c:minorTickMark val="none"/>
        <c:tickLblPos val="nextTo"/>
        <c:crossAx val="45818240"/>
        <c:crosses val="autoZero"/>
        <c:auto val="1"/>
        <c:lblAlgn val="ctr"/>
        <c:lblOffset val="100"/>
        <c:noMultiLvlLbl val="0"/>
      </c:catAx>
      <c:valAx>
        <c:axId val="45818240"/>
        <c:scaling>
          <c:orientation val="minMax"/>
          <c:min val="0.5"/>
        </c:scaling>
        <c:delete val="0"/>
        <c:axPos val="l"/>
        <c:majorGridlines/>
        <c:numFmt formatCode="0.0%" sourceLinked="0"/>
        <c:majorTickMark val="none"/>
        <c:minorTickMark val="none"/>
        <c:tickLblPos val="nextTo"/>
        <c:crossAx val="27982080"/>
        <c:crosses val="autoZero"/>
        <c:crossBetween val="between"/>
        <c:majorUnit val="0.1"/>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dLbls>
            <c:dLbl>
              <c:idx val="1"/>
              <c:layout>
                <c:manualLayout>
                  <c:x val="-5.3835793200468669E-3"/>
                  <c:y val="-3.23232323232323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37-4437-A253-612211AAE8C5}"/>
                </c:ext>
              </c:extLst>
            </c:dLbl>
            <c:dLbl>
              <c:idx val="3"/>
              <c:layout>
                <c:manualLayout>
                  <c:x val="-1.7945264400156223E-3"/>
                  <c:y val="-1.21212121212121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37-4437-A253-612211AAE8C5}"/>
                </c:ext>
              </c:extLst>
            </c:dLbl>
            <c:dLbl>
              <c:idx val="4"/>
              <c:layout>
                <c:manualLayout>
                  <c:x val="0"/>
                  <c:y val="1.61616161616161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37-4437-A253-612211AAE8C5}"/>
                </c:ext>
              </c:extLst>
            </c:dLbl>
            <c:dLbl>
              <c:idx val="5"/>
              <c:layout>
                <c:manualLayout>
                  <c:x val="-5.3835793200468669E-3"/>
                  <c:y val="2.42424242424242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37-4437-A253-612211AAE8C5}"/>
                </c:ext>
              </c:extLst>
            </c:dLbl>
            <c:dLbl>
              <c:idx val="6"/>
              <c:layout>
                <c:manualLayout>
                  <c:x val="-3.5890528800312446E-3"/>
                  <c:y val="2.42424242424242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37-4437-A253-612211AAE8C5}"/>
                </c:ext>
              </c:extLst>
            </c:dLbl>
            <c:dLbl>
              <c:idx val="7"/>
              <c:layout>
                <c:manualLayout>
                  <c:x val="0"/>
                  <c:y val="2.42424242424242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37-4437-A253-612211AAE8C5}"/>
                </c:ext>
              </c:extLst>
            </c:dLbl>
            <c:dLbl>
              <c:idx val="8"/>
              <c:layout>
                <c:manualLayout>
                  <c:x val="-5.3835793200468669E-3"/>
                  <c:y val="3.23232323232323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37-4437-A253-612211AAE8C5}"/>
                </c:ext>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'Arts Participation'!$C$4:$M$4</c:f>
              <c:numCache>
                <c:formatCode>0</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'Arts Participation'!$C$5:$M$5</c:f>
              <c:numCache>
                <c:formatCode>0.0%</c:formatCode>
                <c:ptCount val="11"/>
                <c:pt idx="0">
                  <c:v>0.371</c:v>
                </c:pt>
                <c:pt idx="1">
                  <c:v>0.30399999999999999</c:v>
                </c:pt>
                <c:pt idx="2">
                  <c:v>0.28899999999999998</c:v>
                </c:pt>
                <c:pt idx="3">
                  <c:v>0.40200000000000002</c:v>
                </c:pt>
                <c:pt idx="4">
                  <c:v>0.34899999999999998</c:v>
                </c:pt>
                <c:pt idx="5">
                  <c:v>0.40100000000000002</c:v>
                </c:pt>
                <c:pt idx="6">
                  <c:v>0.41199999999999998</c:v>
                </c:pt>
                <c:pt idx="7">
                  <c:v>0.441</c:v>
                </c:pt>
                <c:pt idx="8">
                  <c:v>0.45800000000000002</c:v>
                </c:pt>
                <c:pt idx="9">
                  <c:v>0.45600000000000002</c:v>
                </c:pt>
                <c:pt idx="10">
                  <c:v>0.49299999999999999</c:v>
                </c:pt>
              </c:numCache>
            </c:numRef>
          </c:val>
          <c:smooth val="0"/>
          <c:extLst>
            <c:ext xmlns:c16="http://schemas.microsoft.com/office/drawing/2014/chart" uri="{C3380CC4-5D6E-409C-BE32-E72D297353CC}">
              <c16:uniqueId val="{00000007-B937-4437-A253-612211AAE8C5}"/>
            </c:ext>
          </c:extLst>
        </c:ser>
        <c:dLbls>
          <c:dLblPos val="r"/>
          <c:showLegendKey val="0"/>
          <c:showVal val="1"/>
          <c:showCatName val="0"/>
          <c:showSerName val="0"/>
          <c:showPercent val="0"/>
          <c:showBubbleSize val="0"/>
        </c:dLbls>
        <c:marker val="1"/>
        <c:smooth val="0"/>
        <c:axId val="89966080"/>
        <c:axId val="106632320"/>
      </c:lineChart>
      <c:catAx>
        <c:axId val="89966080"/>
        <c:scaling>
          <c:orientation val="minMax"/>
        </c:scaling>
        <c:delete val="0"/>
        <c:axPos val="b"/>
        <c:numFmt formatCode="0" sourceLinked="1"/>
        <c:majorTickMark val="none"/>
        <c:minorTickMark val="none"/>
        <c:tickLblPos val="nextTo"/>
        <c:crossAx val="106632320"/>
        <c:crosses val="autoZero"/>
        <c:auto val="1"/>
        <c:lblAlgn val="ctr"/>
        <c:lblOffset val="100"/>
        <c:noMultiLvlLbl val="0"/>
      </c:catAx>
      <c:valAx>
        <c:axId val="106632320"/>
        <c:scaling>
          <c:orientation val="minMax"/>
        </c:scaling>
        <c:delete val="0"/>
        <c:axPos val="l"/>
        <c:majorGridlines/>
        <c:numFmt formatCode="0.0%" sourceLinked="1"/>
        <c:majorTickMark val="none"/>
        <c:minorTickMark val="none"/>
        <c:tickLblPos val="nextTo"/>
        <c:crossAx val="899660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654412357333847E-2"/>
          <c:y val="0.16576165869572465"/>
          <c:w val="0.81818263371284194"/>
          <c:h val="0.74356634138979194"/>
        </c:manualLayout>
      </c:layout>
      <c:lineChart>
        <c:grouping val="standard"/>
        <c:varyColors val="0"/>
        <c:ser>
          <c:idx val="0"/>
          <c:order val="0"/>
          <c:tx>
            <c:strRef>
              <c:f>'Arts Participation'!$B$31</c:f>
              <c:strCache>
                <c:ptCount val="1"/>
                <c:pt idx="0">
                  <c:v>ABC1</c:v>
                </c:pt>
              </c:strCache>
            </c:strRef>
          </c:tx>
          <c:dLbls>
            <c:dLbl>
              <c:idx val="1"/>
              <c:layout>
                <c:manualLayout>
                  <c:x val="-1.7801513128615932E-3"/>
                  <c:y val="-2.26262597469167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7D-45A6-8726-38AA7A82945D}"/>
                </c:ext>
              </c:extLst>
            </c:dLbl>
            <c:dLbl>
              <c:idx val="3"/>
              <c:layout>
                <c:manualLayout>
                  <c:x val="-1.7801513128615932E-2"/>
                  <c:y val="-3.23232282098811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7D-45A6-8726-38AA7A82945D}"/>
                </c:ext>
              </c:extLst>
            </c:dLbl>
            <c:dLbl>
              <c:idx val="5"/>
              <c:layout>
                <c:manualLayout>
                  <c:x val="-1.7760047435930973E-2"/>
                  <c:y val="-4.0330819674730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7D-45A6-8726-38AA7A82945D}"/>
                </c:ext>
              </c:extLst>
            </c:dLbl>
            <c:dLbl>
              <c:idx val="6"/>
              <c:layout>
                <c:manualLayout>
                  <c:x val="-5.3404539385847796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7D-45A6-8726-38AA7A82945D}"/>
                </c:ext>
              </c:extLst>
            </c:dLbl>
            <c:dLbl>
              <c:idx val="7"/>
              <c:layout>
                <c:manualLayout>
                  <c:x val="-1.7801513128615932E-2"/>
                  <c:y val="-2.90909053888929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7D-45A6-8726-38AA7A82945D}"/>
                </c:ext>
              </c:extLst>
            </c:dLbl>
            <c:dLbl>
              <c:idx val="8"/>
              <c:layout>
                <c:manualLayout>
                  <c:x val="-1.7801513128615932E-3"/>
                  <c:y val="-1.9393936925928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7D-45A6-8726-38AA7A82945D}"/>
                </c:ext>
              </c:extLst>
            </c:dLbl>
            <c:spPr>
              <a:noFill/>
              <a:ln>
                <a:noFill/>
              </a:ln>
              <a:effectLst/>
            </c:spPr>
            <c:txPr>
              <a:bodyPr/>
              <a:lstStyle/>
              <a:p>
                <a:pPr>
                  <a:defRPr sz="900"/>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'Arts Participation'!$C$29:$L$29</c:f>
              <c:numCache>
                <c:formatCode>0</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'Arts Participation'!$C$31:$L$31</c:f>
              <c:numCache>
                <c:formatCode>0.0%</c:formatCode>
                <c:ptCount val="10"/>
                <c:pt idx="0">
                  <c:v>0.45700000000000002</c:v>
                </c:pt>
                <c:pt idx="1">
                  <c:v>0.40699999999999997</c:v>
                </c:pt>
                <c:pt idx="2">
                  <c:v>0.35399999999999998</c:v>
                </c:pt>
                <c:pt idx="3">
                  <c:v>0.495</c:v>
                </c:pt>
                <c:pt idx="4">
                  <c:v>0.432</c:v>
                </c:pt>
                <c:pt idx="5">
                  <c:v>0.48399999999999999</c:v>
                </c:pt>
                <c:pt idx="6">
                  <c:v>0.45800000000000002</c:v>
                </c:pt>
                <c:pt idx="7">
                  <c:v>0.51500000000000001</c:v>
                </c:pt>
                <c:pt idx="8">
                  <c:v>0.52100000000000002</c:v>
                </c:pt>
                <c:pt idx="9">
                  <c:v>0.51400000000000001</c:v>
                </c:pt>
              </c:numCache>
            </c:numRef>
          </c:val>
          <c:smooth val="0"/>
          <c:extLst>
            <c:ext xmlns:c16="http://schemas.microsoft.com/office/drawing/2014/chart" uri="{C3380CC4-5D6E-409C-BE32-E72D297353CC}">
              <c16:uniqueId val="{00000006-A67D-45A6-8726-38AA7A82945D}"/>
            </c:ext>
          </c:extLst>
        </c:ser>
        <c:ser>
          <c:idx val="1"/>
          <c:order val="1"/>
          <c:tx>
            <c:strRef>
              <c:f>'Arts Participation'!$B$32</c:f>
              <c:strCache>
                <c:ptCount val="1"/>
                <c:pt idx="0">
                  <c:v>C2DE</c:v>
                </c:pt>
              </c:strCache>
            </c:strRef>
          </c:tx>
          <c:dLbls>
            <c:dLbl>
              <c:idx val="1"/>
              <c:layout>
                <c:manualLayout>
                  <c:x val="-1.7801513128615932E-3"/>
                  <c:y val="1.9393936925928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67D-45A6-8726-38AA7A82945D}"/>
                </c:ext>
              </c:extLst>
            </c:dLbl>
            <c:dLbl>
              <c:idx val="3"/>
              <c:layout>
                <c:manualLayout>
                  <c:x val="-3.5603026257231864E-3"/>
                  <c:y val="-1.29292912839523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67D-45A6-8726-38AA7A82945D}"/>
                </c:ext>
              </c:extLst>
            </c:dLbl>
            <c:dLbl>
              <c:idx val="6"/>
              <c:layout>
                <c:manualLayout>
                  <c:x val="-3.9949076132925242E-3"/>
                  <c:y val="-3.14786180428352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67D-45A6-8726-38AA7A82945D}"/>
                </c:ext>
              </c:extLst>
            </c:dLbl>
            <c:dLbl>
              <c:idx val="8"/>
              <c:layout>
                <c:manualLayout>
                  <c:x val="-1.9581664441477527E-2"/>
                  <c:y val="-3.2323228209881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67D-45A6-8726-38AA7A82945D}"/>
                </c:ext>
              </c:extLst>
            </c:dLbl>
            <c:dLbl>
              <c:idx val="9"/>
              <c:layout>
                <c:manualLayout>
                  <c:x val="6.6445182724252493E-3"/>
                  <c:y val="2.41691842900302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67D-45A6-8726-38AA7A82945D}"/>
                </c:ext>
              </c:extLst>
            </c:dLbl>
            <c:spPr>
              <a:noFill/>
              <a:ln>
                <a:noFill/>
              </a:ln>
              <a:effectLst/>
            </c:spPr>
            <c:txPr>
              <a:bodyPr/>
              <a:lstStyle/>
              <a:p>
                <a:pPr>
                  <a:defRPr sz="900"/>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'Arts Participation'!$C$29:$L$29</c:f>
              <c:numCache>
                <c:formatCode>0</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'Arts Participation'!$C$32:$L$32</c:f>
              <c:numCache>
                <c:formatCode>0.0%</c:formatCode>
                <c:ptCount val="10"/>
                <c:pt idx="0">
                  <c:v>0.3</c:v>
                </c:pt>
                <c:pt idx="1">
                  <c:v>0.216</c:v>
                </c:pt>
                <c:pt idx="2">
                  <c:v>0.23200000000000001</c:v>
                </c:pt>
                <c:pt idx="3">
                  <c:v>0.32300000000000001</c:v>
                </c:pt>
                <c:pt idx="4">
                  <c:v>0.28799999999999998</c:v>
                </c:pt>
                <c:pt idx="5">
                  <c:v>0.34100000000000003</c:v>
                </c:pt>
                <c:pt idx="6">
                  <c:v>0.38300000000000001</c:v>
                </c:pt>
                <c:pt idx="7">
                  <c:v>0.36299999999999999</c:v>
                </c:pt>
                <c:pt idx="8">
                  <c:v>0.40100000000000002</c:v>
                </c:pt>
                <c:pt idx="9">
                  <c:v>0.39700000000000002</c:v>
                </c:pt>
              </c:numCache>
            </c:numRef>
          </c:val>
          <c:smooth val="0"/>
          <c:extLst>
            <c:ext xmlns:c16="http://schemas.microsoft.com/office/drawing/2014/chart" uri="{C3380CC4-5D6E-409C-BE32-E72D297353CC}">
              <c16:uniqueId val="{0000000C-A67D-45A6-8726-38AA7A82945D}"/>
            </c:ext>
          </c:extLst>
        </c:ser>
        <c:dLbls>
          <c:dLblPos val="r"/>
          <c:showLegendKey val="0"/>
          <c:showVal val="1"/>
          <c:showCatName val="0"/>
          <c:showSerName val="0"/>
          <c:showPercent val="0"/>
          <c:showBubbleSize val="0"/>
        </c:dLbls>
        <c:marker val="1"/>
        <c:smooth val="0"/>
        <c:axId val="108318720"/>
        <c:axId val="129958272"/>
      </c:lineChart>
      <c:catAx>
        <c:axId val="108318720"/>
        <c:scaling>
          <c:orientation val="minMax"/>
        </c:scaling>
        <c:delete val="0"/>
        <c:axPos val="b"/>
        <c:numFmt formatCode="0" sourceLinked="1"/>
        <c:majorTickMark val="none"/>
        <c:minorTickMark val="none"/>
        <c:tickLblPos val="nextTo"/>
        <c:crossAx val="129958272"/>
        <c:crosses val="autoZero"/>
        <c:auto val="1"/>
        <c:lblAlgn val="ctr"/>
        <c:lblOffset val="100"/>
        <c:noMultiLvlLbl val="0"/>
      </c:catAx>
      <c:valAx>
        <c:axId val="129958272"/>
        <c:scaling>
          <c:orientation val="minMax"/>
        </c:scaling>
        <c:delete val="0"/>
        <c:axPos val="l"/>
        <c:majorGridlines/>
        <c:numFmt formatCode="0.0%" sourceLinked="1"/>
        <c:majorTickMark val="none"/>
        <c:minorTickMark val="none"/>
        <c:tickLblPos val="nextTo"/>
        <c:crossAx val="108318720"/>
        <c:crosses val="autoZero"/>
        <c:crossBetween val="between"/>
      </c:valAx>
    </c:plotArea>
    <c:legend>
      <c:legendPos val="r"/>
      <c:layout>
        <c:manualLayout>
          <c:xMode val="edge"/>
          <c:yMode val="edge"/>
          <c:x val="0.87231322984693382"/>
          <c:y val="0.48759390991619006"/>
          <c:w val="0.11439184438306833"/>
          <c:h val="0.1455365262440786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10" ma:contentTypeDescription="Create a new document." ma:contentTypeScope="" ma:versionID="c1b89a0d4545fa251ade09592b347993">
  <xsd:schema xmlns:xsd="http://www.w3.org/2001/XMLSchema" xmlns:xs="http://www.w3.org/2001/XMLSchema" xmlns:p="http://schemas.microsoft.com/office/2006/metadata/properties" xmlns:ns3="fa4c04ad-8eec-4f0a-8f3a-f6c9f82b1d03" targetNamespace="http://schemas.microsoft.com/office/2006/metadata/properties" ma:root="true" ma:fieldsID="5eb33d81ca35dc92c74c5ffc4c74af70"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fa4c04ad-8eec-4f0a-8f3a-f6c9f82b1d03"/>
    <ds:schemaRef ds:uri="http://purl.org/dc/dcmitype/"/>
  </ds:schemaRefs>
</ds:datastoreItem>
</file>

<file path=customXml/itemProps3.xml><?xml version="1.0" encoding="utf-8"?>
<ds:datastoreItem xmlns:ds="http://schemas.openxmlformats.org/officeDocument/2006/customXml" ds:itemID="{B0F303C6-2095-40A0-B2CE-A8FB518F1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85B92-A825-45CB-A3F8-910C3F63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1036</Words>
  <Characters>5911</Characters>
  <Application>Microsoft Office Word</Application>
  <DocSecurity>4</DocSecurity>
  <Lines>49</Lines>
  <Paragraphs>13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FSMe quick style template</vt: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FSMe quick style template</dc:title>
  <dc:subject/>
  <dc:creator>Ann Wright</dc:creator>
  <cp:keywords/>
  <dc:description/>
  <cp:lastModifiedBy>Ann Wright</cp:lastModifiedBy>
  <cp:revision>2</cp:revision>
  <cp:lastPrinted>2019-10-17T11:07:00Z</cp:lastPrinted>
  <dcterms:created xsi:type="dcterms:W3CDTF">2020-03-18T08:38:00Z</dcterms:created>
  <dcterms:modified xsi:type="dcterms:W3CDTF">2020-03-18T08:38:00Z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0x010100C776FAB7CD4BA24BA08F75E441B43A55</vt:lpwstr>
  </property>
</Properties>
</file>